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2B7" w:rsidRDefault="005C52B7" w:rsidP="005C52B7">
      <w:pPr>
        <w:pStyle w:val="Main"/>
        <w:tabs>
          <w:tab w:val="left" w:pos="0"/>
        </w:tabs>
        <w:ind w:left="0" w:firstLine="0"/>
        <w:jc w:val="center"/>
        <w:rPr>
          <w:rFonts w:ascii="Arial" w:hAnsi="Arial" w:cs="Arial"/>
          <w:b/>
          <w:sz w:val="22"/>
          <w:szCs w:val="22"/>
        </w:rPr>
      </w:pPr>
      <w:r>
        <w:rPr>
          <w:rFonts w:ascii="Arial" w:hAnsi="Arial" w:cs="Arial"/>
          <w:b/>
          <w:sz w:val="22"/>
          <w:szCs w:val="22"/>
        </w:rPr>
        <w:t>ADDENDUM 1</w:t>
      </w:r>
    </w:p>
    <w:p w:rsidR="005C52B7" w:rsidRDefault="005C52B7" w:rsidP="005C52B7">
      <w:pPr>
        <w:pStyle w:val="Main"/>
        <w:tabs>
          <w:tab w:val="clear" w:pos="1080"/>
          <w:tab w:val="left" w:pos="2880"/>
        </w:tabs>
        <w:rPr>
          <w:rFonts w:ascii="Arial" w:hAnsi="Arial" w:cs="Arial"/>
          <w:sz w:val="22"/>
          <w:szCs w:val="22"/>
        </w:rPr>
      </w:pPr>
    </w:p>
    <w:p w:rsidR="005C52B7" w:rsidRDefault="005C52B7" w:rsidP="005C52B7">
      <w:pPr>
        <w:pStyle w:val="Main"/>
        <w:tabs>
          <w:tab w:val="clear" w:pos="1080"/>
          <w:tab w:val="left" w:pos="1800"/>
        </w:tabs>
        <w:rPr>
          <w:rFonts w:ascii="Arial" w:hAnsi="Arial" w:cs="Arial"/>
          <w:sz w:val="22"/>
          <w:szCs w:val="22"/>
        </w:rPr>
      </w:pPr>
      <w:bookmarkStart w:id="0" w:name="OLE_LINK2"/>
      <w:bookmarkStart w:id="1" w:name="OLE_LINK1"/>
      <w:r>
        <w:rPr>
          <w:rFonts w:ascii="Arial" w:hAnsi="Arial" w:cs="Arial"/>
          <w:sz w:val="22"/>
          <w:szCs w:val="22"/>
        </w:rPr>
        <w:t>DATE:</w:t>
      </w:r>
      <w:r>
        <w:rPr>
          <w:rFonts w:ascii="Arial" w:hAnsi="Arial" w:cs="Arial"/>
          <w:sz w:val="22"/>
          <w:szCs w:val="22"/>
        </w:rPr>
        <w:tab/>
      </w:r>
      <w:r>
        <w:rPr>
          <w:rFonts w:ascii="Arial" w:hAnsi="Arial" w:cs="Arial"/>
          <w:sz w:val="22"/>
          <w:szCs w:val="22"/>
        </w:rPr>
        <w:tab/>
        <w:t>May 3</w:t>
      </w:r>
      <w:r w:rsidR="00146782">
        <w:rPr>
          <w:rFonts w:ascii="Arial" w:hAnsi="Arial" w:cs="Arial"/>
          <w:sz w:val="22"/>
          <w:szCs w:val="22"/>
        </w:rPr>
        <w:t>1</w:t>
      </w:r>
      <w:bookmarkStart w:id="2" w:name="_GoBack"/>
      <w:bookmarkEnd w:id="2"/>
      <w:r>
        <w:rPr>
          <w:rFonts w:ascii="Arial" w:hAnsi="Arial" w:cs="Arial"/>
          <w:sz w:val="22"/>
          <w:szCs w:val="22"/>
        </w:rPr>
        <w:t>, 2018</w:t>
      </w:r>
    </w:p>
    <w:p w:rsidR="005C52B7" w:rsidRPr="005C52B7" w:rsidRDefault="005C52B7" w:rsidP="005C52B7">
      <w:pPr>
        <w:pStyle w:val="Main"/>
        <w:tabs>
          <w:tab w:val="clear" w:pos="1080"/>
          <w:tab w:val="left" w:pos="1800"/>
        </w:tabs>
        <w:rPr>
          <w:rFonts w:ascii="Arial" w:hAnsi="Arial" w:cs="Arial"/>
          <w:sz w:val="22"/>
          <w:szCs w:val="22"/>
        </w:rPr>
      </w:pPr>
      <w:r>
        <w:rPr>
          <w:rFonts w:ascii="Arial" w:hAnsi="Arial" w:cs="Arial"/>
          <w:sz w:val="22"/>
          <w:szCs w:val="22"/>
        </w:rPr>
        <w:t>PROJECT:</w:t>
      </w:r>
      <w:r>
        <w:rPr>
          <w:rFonts w:ascii="Arial" w:hAnsi="Arial" w:cs="Arial"/>
          <w:sz w:val="22"/>
          <w:szCs w:val="22"/>
        </w:rPr>
        <w:tab/>
      </w:r>
      <w:r w:rsidRPr="005C52B7">
        <w:rPr>
          <w:rFonts w:ascii="Arial" w:hAnsi="Arial" w:cs="Arial"/>
          <w:sz w:val="22"/>
          <w:szCs w:val="22"/>
        </w:rPr>
        <w:t>Campus Furniture and Office Moving Services</w:t>
      </w:r>
    </w:p>
    <w:p w:rsidR="005C52B7" w:rsidRDefault="005C52B7" w:rsidP="005C52B7">
      <w:pPr>
        <w:pStyle w:val="Main"/>
        <w:tabs>
          <w:tab w:val="clear" w:pos="1080"/>
          <w:tab w:val="left" w:pos="1800"/>
        </w:tabs>
        <w:rPr>
          <w:rFonts w:ascii="Arial" w:hAnsi="Arial" w:cs="Arial"/>
          <w:sz w:val="22"/>
          <w:szCs w:val="22"/>
        </w:rPr>
      </w:pPr>
      <w:r>
        <w:rPr>
          <w:rFonts w:ascii="Arial" w:hAnsi="Arial" w:cs="Arial"/>
          <w:sz w:val="22"/>
          <w:szCs w:val="22"/>
        </w:rPr>
        <w:t>ITB NO:</w:t>
      </w:r>
      <w:r>
        <w:rPr>
          <w:rFonts w:ascii="Arial" w:hAnsi="Arial" w:cs="Arial"/>
          <w:sz w:val="22"/>
          <w:szCs w:val="22"/>
        </w:rPr>
        <w:tab/>
        <w:t>744-R1817</w:t>
      </w:r>
    </w:p>
    <w:p w:rsidR="005C52B7" w:rsidRDefault="005C52B7" w:rsidP="005C52B7">
      <w:pPr>
        <w:pStyle w:val="Main"/>
        <w:tabs>
          <w:tab w:val="clear" w:pos="1080"/>
          <w:tab w:val="left" w:pos="1800"/>
        </w:tabs>
        <w:rPr>
          <w:rFonts w:ascii="Arial" w:hAnsi="Arial" w:cs="Arial"/>
          <w:sz w:val="22"/>
          <w:szCs w:val="22"/>
        </w:rPr>
      </w:pPr>
      <w:r>
        <w:rPr>
          <w:rFonts w:ascii="Arial" w:hAnsi="Arial" w:cs="Arial"/>
          <w:sz w:val="22"/>
          <w:szCs w:val="22"/>
        </w:rPr>
        <w:t>OWNER:</w:t>
      </w:r>
      <w:r>
        <w:rPr>
          <w:rFonts w:ascii="Arial" w:hAnsi="Arial" w:cs="Arial"/>
          <w:sz w:val="22"/>
          <w:szCs w:val="22"/>
        </w:rPr>
        <w:tab/>
        <w:t>The University of Texas Health Science Center at Houston</w:t>
      </w:r>
    </w:p>
    <w:p w:rsidR="005C52B7" w:rsidRDefault="005C52B7" w:rsidP="005C52B7">
      <w:pPr>
        <w:pStyle w:val="Main"/>
        <w:tabs>
          <w:tab w:val="clear" w:pos="1080"/>
          <w:tab w:val="left" w:pos="1800"/>
        </w:tabs>
        <w:ind w:left="2880" w:hanging="2880"/>
        <w:rPr>
          <w:rFonts w:ascii="Arial" w:hAnsi="Arial" w:cs="Arial"/>
          <w:sz w:val="22"/>
          <w:szCs w:val="22"/>
        </w:rPr>
      </w:pPr>
      <w:r>
        <w:rPr>
          <w:rFonts w:ascii="Arial" w:hAnsi="Arial" w:cs="Arial"/>
          <w:sz w:val="22"/>
          <w:szCs w:val="22"/>
        </w:rPr>
        <w:t>TO:</w:t>
      </w:r>
      <w:r>
        <w:rPr>
          <w:rFonts w:ascii="Arial" w:hAnsi="Arial" w:cs="Arial"/>
          <w:sz w:val="22"/>
          <w:szCs w:val="22"/>
        </w:rPr>
        <w:tab/>
        <w:t>Prospective Proposers</w:t>
      </w:r>
    </w:p>
    <w:bookmarkEnd w:id="0"/>
    <w:bookmarkEnd w:id="1"/>
    <w:p w:rsidR="005C52B7" w:rsidRDefault="00876E8A" w:rsidP="005C52B7">
      <w:pPr>
        <w:pStyle w:val="Main"/>
        <w:tabs>
          <w:tab w:val="clear" w:pos="1080"/>
          <w:tab w:val="left" w:pos="2880"/>
        </w:tabs>
        <w:spacing w:before="0" w:after="0"/>
        <w:ind w:left="0" w:firstLine="0"/>
        <w:rPr>
          <w:rFonts w:ascii="Arial" w:hAnsi="Arial" w:cs="Arial"/>
          <w:sz w:val="22"/>
          <w:szCs w:val="22"/>
        </w:rPr>
      </w:pPr>
      <w:r>
        <w:rPr>
          <w:rFonts w:ascii="Arial" w:hAnsi="Arial" w:cs="Arial"/>
          <w:sz w:val="22"/>
          <w:szCs w:val="22"/>
        </w:rPr>
        <w:br/>
      </w:r>
      <w:r w:rsidR="005C52B7">
        <w:rPr>
          <w:rFonts w:ascii="Arial" w:hAnsi="Arial" w:cs="Arial"/>
          <w:sz w:val="22"/>
          <w:szCs w:val="22"/>
        </w:rPr>
        <w:t>This Addendum forms part of and modifies Bid Documents dated, May 7, 2018, with amendments and additions noted below.</w:t>
      </w:r>
    </w:p>
    <w:p w:rsidR="005C52B7" w:rsidRDefault="005C52B7">
      <w:pPr>
        <w:rPr>
          <w:rFonts w:ascii="Arial" w:hAnsi="Arial" w:cs="Arial"/>
        </w:rPr>
      </w:pPr>
      <w:r w:rsidRPr="005C52B7">
        <w:rPr>
          <w:rFonts w:ascii="Arial" w:hAnsi="Arial" w:cs="Arial"/>
        </w:rPr>
        <w:t xml:space="preserve">The following questions </w:t>
      </w:r>
      <w:proofErr w:type="gramStart"/>
      <w:r w:rsidRPr="005C52B7">
        <w:rPr>
          <w:rFonts w:ascii="Arial" w:hAnsi="Arial" w:cs="Arial"/>
        </w:rPr>
        <w:t>were received</w:t>
      </w:r>
      <w:proofErr w:type="gramEnd"/>
      <w:r w:rsidRPr="005C52B7">
        <w:rPr>
          <w:rFonts w:ascii="Arial" w:hAnsi="Arial" w:cs="Arial"/>
        </w:rPr>
        <w:t xml:space="preserve"> prior to the question deadline of May 29, 2018:</w:t>
      </w:r>
    </w:p>
    <w:p w:rsidR="005C52B7" w:rsidRPr="005C52B7" w:rsidRDefault="00876E8A" w:rsidP="005C52B7">
      <w:pPr>
        <w:numPr>
          <w:ilvl w:val="0"/>
          <w:numId w:val="1"/>
        </w:numPr>
        <w:spacing w:after="0" w:line="240" w:lineRule="auto"/>
        <w:rPr>
          <w:rFonts w:ascii="Arial" w:eastAsia="Times New Roman" w:hAnsi="Arial" w:cs="Arial"/>
        </w:rPr>
      </w:pPr>
      <w:r>
        <w:rPr>
          <w:rFonts w:ascii="Arial" w:eastAsia="Times New Roman" w:hAnsi="Arial" w:cs="Arial"/>
        </w:rPr>
        <w:t xml:space="preserve">Does </w:t>
      </w:r>
      <w:proofErr w:type="spellStart"/>
      <w:r>
        <w:rPr>
          <w:rFonts w:ascii="Arial" w:eastAsia="Times New Roman" w:hAnsi="Arial" w:cs="Arial"/>
        </w:rPr>
        <w:t>UT</w:t>
      </w:r>
      <w:r w:rsidR="005C52B7" w:rsidRPr="005C52B7">
        <w:rPr>
          <w:rFonts w:ascii="Arial" w:eastAsia="Times New Roman" w:hAnsi="Arial" w:cs="Arial"/>
        </w:rPr>
        <w:t>Health</w:t>
      </w:r>
      <w:proofErr w:type="spellEnd"/>
      <w:r w:rsidR="005C52B7" w:rsidRPr="005C52B7">
        <w:rPr>
          <w:rFonts w:ascii="Arial" w:eastAsia="Times New Roman" w:hAnsi="Arial" w:cs="Arial"/>
        </w:rPr>
        <w:t xml:space="preserve"> have internal plans for relocation of electronic equipment within an existing office for the phased moves to the swing space and then back to the permanent office after renovations for each user? </w:t>
      </w:r>
      <w:r w:rsidR="005C52B7">
        <w:rPr>
          <w:rFonts w:ascii="Arial" w:eastAsia="Times New Roman" w:hAnsi="Arial" w:cs="Arial"/>
        </w:rPr>
        <w:br/>
      </w:r>
      <w:r w:rsidR="005C52B7" w:rsidRPr="005C52B7">
        <w:rPr>
          <w:rFonts w:ascii="Arial" w:eastAsia="Times New Roman" w:hAnsi="Arial" w:cs="Arial"/>
          <w:color w:val="FF0000"/>
        </w:rPr>
        <w:t xml:space="preserve">For the two specific projects noted, </w:t>
      </w:r>
      <w:proofErr w:type="spellStart"/>
      <w:r w:rsidR="005C52B7" w:rsidRPr="005C52B7">
        <w:rPr>
          <w:rFonts w:ascii="Arial" w:eastAsia="Times New Roman" w:hAnsi="Arial" w:cs="Arial"/>
          <w:color w:val="FF0000"/>
        </w:rPr>
        <w:t>UT</w:t>
      </w:r>
      <w:r>
        <w:rPr>
          <w:rFonts w:ascii="Arial" w:eastAsia="Times New Roman" w:hAnsi="Arial" w:cs="Arial"/>
          <w:color w:val="FF0000"/>
        </w:rPr>
        <w:t>Health</w:t>
      </w:r>
      <w:proofErr w:type="spellEnd"/>
      <w:r w:rsidR="005C52B7" w:rsidRPr="005C52B7">
        <w:rPr>
          <w:rFonts w:ascii="Arial" w:eastAsia="Times New Roman" w:hAnsi="Arial" w:cs="Arial"/>
          <w:color w:val="FF0000"/>
        </w:rPr>
        <w:t xml:space="preserve"> IT will move computers and phones.  However, it is possible that the selected contractor </w:t>
      </w:r>
      <w:proofErr w:type="gramStart"/>
      <w:r>
        <w:rPr>
          <w:rFonts w:ascii="Arial" w:eastAsia="Times New Roman" w:hAnsi="Arial" w:cs="Arial"/>
          <w:color w:val="FF0000"/>
        </w:rPr>
        <w:t>will</w:t>
      </w:r>
      <w:r w:rsidR="005C52B7" w:rsidRPr="005C52B7">
        <w:rPr>
          <w:rFonts w:ascii="Arial" w:eastAsia="Times New Roman" w:hAnsi="Arial" w:cs="Arial"/>
          <w:color w:val="FF0000"/>
        </w:rPr>
        <w:t xml:space="preserve"> be asked</w:t>
      </w:r>
      <w:proofErr w:type="gramEnd"/>
      <w:r w:rsidR="005C52B7" w:rsidRPr="005C52B7">
        <w:rPr>
          <w:rFonts w:ascii="Arial" w:eastAsia="Times New Roman" w:hAnsi="Arial" w:cs="Arial"/>
          <w:color w:val="FF0000"/>
        </w:rPr>
        <w:t xml:space="preserve"> to move ice machines, copiers, printers, fax machines, refrigerators, or other such equipment.  Please note, the MSB and JJL projects are driving this particular bid, however, with a contract in place the campus may opt to use the contractor for other projects of similar scope.  These future project scopes are unknown at this time, but could also include other equipment.</w:t>
      </w:r>
      <w:r w:rsidR="005C52B7">
        <w:rPr>
          <w:rFonts w:ascii="Arial" w:eastAsia="Times New Roman" w:hAnsi="Arial" w:cs="Arial"/>
          <w:color w:val="FF0000"/>
        </w:rPr>
        <w:br/>
      </w:r>
    </w:p>
    <w:p w:rsidR="005C52B7" w:rsidRPr="005C52B7" w:rsidRDefault="005C52B7" w:rsidP="005C52B7">
      <w:pPr>
        <w:numPr>
          <w:ilvl w:val="0"/>
          <w:numId w:val="1"/>
        </w:numPr>
        <w:spacing w:after="0" w:line="240" w:lineRule="auto"/>
        <w:rPr>
          <w:rFonts w:ascii="Arial" w:eastAsia="Times New Roman" w:hAnsi="Arial" w:cs="Arial"/>
        </w:rPr>
      </w:pPr>
      <w:r w:rsidRPr="005C52B7">
        <w:rPr>
          <w:rFonts w:ascii="Arial" w:eastAsia="Times New Roman" w:hAnsi="Arial" w:cs="Arial"/>
        </w:rPr>
        <w:t xml:space="preserve">Other than the </w:t>
      </w:r>
      <w:r w:rsidRPr="005C52B7">
        <w:rPr>
          <w:rFonts w:ascii="Arial" w:eastAsia="Times New Roman" w:hAnsi="Arial" w:cs="Arial"/>
          <w:u w:val="single"/>
        </w:rPr>
        <w:t>furniture</w:t>
      </w:r>
      <w:r w:rsidRPr="005C52B7">
        <w:rPr>
          <w:rFonts w:ascii="Arial" w:eastAsia="Times New Roman" w:hAnsi="Arial" w:cs="Arial"/>
        </w:rPr>
        <w:t xml:space="preserve"> disassembly from private offices, stage in storage, reassembly after renovation completion and </w:t>
      </w:r>
      <w:r w:rsidRPr="005C52B7">
        <w:rPr>
          <w:rFonts w:ascii="Arial" w:eastAsia="Times New Roman" w:hAnsi="Arial" w:cs="Arial"/>
          <w:u w:val="single"/>
        </w:rPr>
        <w:t>box moves</w:t>
      </w:r>
      <w:r w:rsidRPr="005C52B7">
        <w:rPr>
          <w:rFonts w:ascii="Arial" w:eastAsia="Times New Roman" w:hAnsi="Arial" w:cs="Arial"/>
        </w:rPr>
        <w:t xml:space="preserve"> for each user from their office to swing space then back to their office after renovation, is there any other equipment or items that will require to be relocated within this </w:t>
      </w:r>
      <w:proofErr w:type="gramStart"/>
      <w:r w:rsidRPr="005C52B7">
        <w:rPr>
          <w:rFonts w:ascii="Arial" w:eastAsia="Times New Roman" w:hAnsi="Arial" w:cs="Arial"/>
        </w:rPr>
        <w:t>RFP?</w:t>
      </w:r>
      <w:proofErr w:type="gramEnd"/>
      <w:r w:rsidRPr="005C52B7">
        <w:rPr>
          <w:rFonts w:ascii="Arial" w:eastAsia="Times New Roman" w:hAnsi="Arial" w:cs="Arial"/>
        </w:rPr>
        <w:t xml:space="preserve">  </w:t>
      </w:r>
      <w:r>
        <w:rPr>
          <w:rFonts w:ascii="Arial" w:eastAsia="Times New Roman" w:hAnsi="Arial" w:cs="Arial"/>
        </w:rPr>
        <w:br/>
      </w:r>
      <w:r w:rsidRPr="005C52B7">
        <w:rPr>
          <w:rFonts w:ascii="Arial" w:eastAsia="Times New Roman" w:hAnsi="Arial" w:cs="Arial"/>
          <w:color w:val="FF0000"/>
        </w:rPr>
        <w:t xml:space="preserve">See response to question </w:t>
      </w:r>
      <w:proofErr w:type="gramStart"/>
      <w:r w:rsidRPr="005C52B7">
        <w:rPr>
          <w:rFonts w:ascii="Arial" w:eastAsia="Times New Roman" w:hAnsi="Arial" w:cs="Arial"/>
          <w:color w:val="FF0000"/>
        </w:rPr>
        <w:t>1</w:t>
      </w:r>
      <w:proofErr w:type="gramEnd"/>
      <w:r w:rsidRPr="005C52B7">
        <w:rPr>
          <w:rFonts w:ascii="Arial" w:eastAsia="Times New Roman" w:hAnsi="Arial" w:cs="Arial"/>
          <w:color w:val="FF0000"/>
        </w:rPr>
        <w:t xml:space="preserve">.  In addition, these two projects will also move common area furniture such as break alcoves and conference rooms.  </w:t>
      </w:r>
      <w:r>
        <w:rPr>
          <w:rFonts w:ascii="Arial" w:eastAsia="Times New Roman" w:hAnsi="Arial" w:cs="Arial"/>
          <w:color w:val="FF0000"/>
        </w:rPr>
        <w:br/>
      </w:r>
    </w:p>
    <w:p w:rsidR="005C52B7" w:rsidRPr="005C52B7" w:rsidRDefault="005C52B7" w:rsidP="005C52B7">
      <w:pPr>
        <w:numPr>
          <w:ilvl w:val="0"/>
          <w:numId w:val="1"/>
        </w:numPr>
        <w:spacing w:after="0" w:line="240" w:lineRule="auto"/>
        <w:rPr>
          <w:rFonts w:ascii="Arial" w:eastAsia="Times New Roman" w:hAnsi="Arial" w:cs="Arial"/>
        </w:rPr>
      </w:pPr>
      <w:proofErr w:type="gramStart"/>
      <w:r w:rsidRPr="005C52B7">
        <w:rPr>
          <w:rFonts w:ascii="Arial" w:eastAsia="Times New Roman" w:hAnsi="Arial" w:cs="Arial"/>
        </w:rPr>
        <w:t>In reading the RFP and notes from the pre-bid meeting, it appears that the scope of work will require the awarded firm to relocate individuals out of offices, into temporary swing spaces provided by UT Health, box move required, relocating existing furniture to off-site storage while renovation is going on, bring furniture back and assemble in original location and orientation when renovation is complete and box move for individual from swing space back into permanent office space. </w:t>
      </w:r>
      <w:proofErr w:type="gramEnd"/>
      <w:r w:rsidRPr="005C52B7">
        <w:rPr>
          <w:rFonts w:ascii="Arial" w:eastAsia="Times New Roman" w:hAnsi="Arial" w:cs="Arial"/>
        </w:rPr>
        <w:t xml:space="preserve"> </w:t>
      </w:r>
      <w:proofErr w:type="gramStart"/>
      <w:r w:rsidRPr="005C52B7">
        <w:rPr>
          <w:rFonts w:ascii="Arial" w:eastAsia="Times New Roman" w:hAnsi="Arial" w:cs="Arial"/>
        </w:rPr>
        <w:t>Is this correct?</w:t>
      </w:r>
      <w:proofErr w:type="gramEnd"/>
      <w:r w:rsidRPr="005C52B7">
        <w:rPr>
          <w:rFonts w:ascii="Arial" w:eastAsia="Times New Roman" w:hAnsi="Arial" w:cs="Arial"/>
        </w:rPr>
        <w:t xml:space="preserve"> </w:t>
      </w:r>
      <w:r>
        <w:rPr>
          <w:rFonts w:ascii="Arial" w:eastAsia="Times New Roman" w:hAnsi="Arial" w:cs="Arial"/>
        </w:rPr>
        <w:br/>
      </w:r>
      <w:r w:rsidRPr="005C52B7">
        <w:rPr>
          <w:rFonts w:ascii="Arial" w:eastAsia="Times New Roman" w:hAnsi="Arial" w:cs="Arial"/>
          <w:color w:val="FF0000"/>
        </w:rPr>
        <w:t>Yes, this is the correct scope for the JJL and MSB project office moves.  In addition, these two projects will also move common area furniture such as break alcoves and conference rooms.  Please note, the contract could also include future projects of unknown scope at this time and is not limited to ju</w:t>
      </w:r>
      <w:r w:rsidR="00876E8A">
        <w:rPr>
          <w:rFonts w:ascii="Arial" w:eastAsia="Times New Roman" w:hAnsi="Arial" w:cs="Arial"/>
          <w:color w:val="FF0000"/>
        </w:rPr>
        <w:t>s</w:t>
      </w:r>
      <w:r w:rsidRPr="005C52B7">
        <w:rPr>
          <w:rFonts w:ascii="Arial" w:eastAsia="Times New Roman" w:hAnsi="Arial" w:cs="Arial"/>
          <w:color w:val="FF0000"/>
        </w:rPr>
        <w:t xml:space="preserve">t JJL and MSB.  </w:t>
      </w:r>
      <w:r>
        <w:rPr>
          <w:rFonts w:ascii="Arial" w:eastAsia="Times New Roman" w:hAnsi="Arial" w:cs="Arial"/>
          <w:color w:val="FF0000"/>
        </w:rPr>
        <w:br/>
      </w:r>
    </w:p>
    <w:p w:rsidR="005C52B7" w:rsidRPr="005C52B7" w:rsidRDefault="005C52B7" w:rsidP="005C52B7">
      <w:pPr>
        <w:numPr>
          <w:ilvl w:val="0"/>
          <w:numId w:val="1"/>
        </w:numPr>
        <w:spacing w:after="0" w:line="240" w:lineRule="auto"/>
        <w:rPr>
          <w:rFonts w:ascii="Arial" w:eastAsia="Times New Roman" w:hAnsi="Arial" w:cs="Arial"/>
          <w:color w:val="FF0000"/>
        </w:rPr>
      </w:pPr>
      <w:r w:rsidRPr="005C52B7">
        <w:rPr>
          <w:rFonts w:ascii="Arial" w:eastAsia="Times New Roman" w:hAnsi="Arial" w:cs="Arial"/>
        </w:rPr>
        <w:t xml:space="preserve">Will individuals be required to pack up their own boxes in preparation for the “box move” and label each box? </w:t>
      </w:r>
      <w:r>
        <w:rPr>
          <w:rFonts w:ascii="Arial" w:eastAsia="Times New Roman" w:hAnsi="Arial" w:cs="Arial"/>
        </w:rPr>
        <w:br/>
      </w:r>
      <w:r w:rsidRPr="005C52B7">
        <w:rPr>
          <w:rFonts w:ascii="Arial" w:eastAsia="Times New Roman" w:hAnsi="Arial" w:cs="Arial"/>
          <w:color w:val="FF0000"/>
        </w:rPr>
        <w:t>Yes, each individual office is to pack their own office.  They may opt to contract directly with the vendor (at an additional charge) to assist in packing.</w:t>
      </w:r>
    </w:p>
    <w:p w:rsidR="005C52B7" w:rsidRPr="005C52B7" w:rsidRDefault="005C52B7">
      <w:pPr>
        <w:rPr>
          <w:rFonts w:ascii="Arial" w:hAnsi="Arial" w:cs="Arial"/>
        </w:rPr>
      </w:pPr>
    </w:p>
    <w:p w:rsidR="005C52B7" w:rsidRPr="005C52B7" w:rsidRDefault="005C52B7">
      <w:pPr>
        <w:rPr>
          <w:rFonts w:ascii="Arial" w:hAnsi="Arial" w:cs="Arial"/>
          <w:b/>
        </w:rPr>
      </w:pPr>
      <w:r w:rsidRPr="005C52B7">
        <w:rPr>
          <w:rFonts w:ascii="Arial" w:hAnsi="Arial" w:cs="Arial"/>
          <w:b/>
        </w:rPr>
        <w:t>END OF ADDENDUM 1</w:t>
      </w:r>
    </w:p>
    <w:sectPr w:rsidR="005C52B7" w:rsidRPr="005C5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411B4"/>
    <w:multiLevelType w:val="hybridMultilevel"/>
    <w:tmpl w:val="B53AF1CC"/>
    <w:lvl w:ilvl="0" w:tplc="A246EB7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B7"/>
    <w:rsid w:val="00146782"/>
    <w:rsid w:val="005C52B7"/>
    <w:rsid w:val="00876E8A"/>
    <w:rsid w:val="00C4445D"/>
    <w:rsid w:val="00E60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E9DD"/>
  <w15:chartTrackingRefBased/>
  <w15:docId w15:val="{650A3290-6463-4EEB-8ADC-AB870A16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52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5C52B7"/>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after="0" w:line="240" w:lineRule="auto"/>
      <w:ind w:left="2160"/>
      <w:jc w:val="both"/>
      <w:outlineLvl w:val="3"/>
    </w:pPr>
    <w:rPr>
      <w:rFonts w:ascii="Arial" w:eastAsia="Times New Roman" w:hAnsi="Arial"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
    <w:name w:val="Main"/>
    <w:basedOn w:val="Heading1"/>
    <w:rsid w:val="005C52B7"/>
    <w:pPr>
      <w:keepNext w:val="0"/>
      <w:keepLines w:val="0"/>
      <w:tabs>
        <w:tab w:val="left" w:pos="1080"/>
      </w:tabs>
      <w:spacing w:before="120" w:after="120" w:line="240" w:lineRule="auto"/>
      <w:ind w:left="720" w:hanging="720"/>
      <w:outlineLvl w:val="9"/>
    </w:pPr>
    <w:rPr>
      <w:rFonts w:ascii="Times New Roman" w:eastAsia="Times New Roman" w:hAnsi="Times New Roman" w:cs="Times New Roman"/>
      <w:color w:val="000000"/>
      <w:kern w:val="28"/>
      <w:sz w:val="24"/>
      <w:szCs w:val="20"/>
    </w:rPr>
  </w:style>
  <w:style w:type="character" w:customStyle="1" w:styleId="Heading1Char">
    <w:name w:val="Heading 1 Char"/>
    <w:basedOn w:val="DefaultParagraphFont"/>
    <w:link w:val="Heading1"/>
    <w:uiPriority w:val="9"/>
    <w:rsid w:val="005C52B7"/>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rsid w:val="005C52B7"/>
    <w:rPr>
      <w:rFonts w:ascii="Arial" w:eastAsia="Times New Roman" w:hAnsi="Arial"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577738">
      <w:bodyDiv w:val="1"/>
      <w:marLeft w:val="0"/>
      <w:marRight w:val="0"/>
      <w:marTop w:val="0"/>
      <w:marBottom w:val="0"/>
      <w:divBdr>
        <w:top w:val="none" w:sz="0" w:space="0" w:color="auto"/>
        <w:left w:val="none" w:sz="0" w:space="0" w:color="auto"/>
        <w:bottom w:val="none" w:sz="0" w:space="0" w:color="auto"/>
        <w:right w:val="none" w:sz="0" w:space="0" w:color="auto"/>
      </w:divBdr>
    </w:div>
    <w:div w:id="177671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UTHSC</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Lander, Laura</dc:creator>
  <cp:keywords/>
  <dc:description/>
  <cp:lastModifiedBy>Lander, Laura</cp:lastModifiedBy>
  <cp:revision>3</cp:revision>
  <dcterms:created xsi:type="dcterms:W3CDTF">2018-05-30T12:47:00Z</dcterms:created>
  <dcterms:modified xsi:type="dcterms:W3CDTF">2018-05-31T12:53:00Z</dcterms:modified>
</cp:coreProperties>
</file>