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792" w:rsidRPr="00E87EA1" w:rsidRDefault="00E87EA1" w:rsidP="00826792">
      <w:pPr>
        <w:rPr>
          <w:rFonts w:ascii="Calibri" w:hAnsi="Calibri"/>
          <w:b/>
          <w:sz w:val="22"/>
          <w:szCs w:val="22"/>
        </w:rPr>
      </w:pPr>
      <w:r w:rsidRPr="00E87EA1">
        <w:rPr>
          <w:rFonts w:ascii="Calibri" w:hAnsi="Calibri"/>
          <w:b/>
          <w:sz w:val="22"/>
          <w:szCs w:val="22"/>
        </w:rPr>
        <w:t>GUIDANCE: Records Retention</w:t>
      </w:r>
    </w:p>
    <w:p w:rsidR="00ED7822" w:rsidRPr="00E87EA1" w:rsidRDefault="00ED7822" w:rsidP="00ED7822">
      <w:pPr>
        <w:autoSpaceDE w:val="0"/>
        <w:autoSpaceDN w:val="0"/>
        <w:adjustRightInd w:val="0"/>
        <w:rPr>
          <w:rFonts w:ascii="Calibri" w:hAnsi="Calibri" w:cs="Verdana"/>
          <w:color w:val="000000"/>
          <w:sz w:val="22"/>
          <w:szCs w:val="22"/>
        </w:rPr>
      </w:pPr>
    </w:p>
    <w:p w:rsidR="003E5DB0" w:rsidRPr="00E87EA1" w:rsidRDefault="00E87EA1" w:rsidP="00E87EA1">
      <w:pPr>
        <w:rPr>
          <w:rFonts w:ascii="Calibri" w:hAnsi="Calibri"/>
          <w:b/>
          <w:sz w:val="22"/>
          <w:szCs w:val="22"/>
        </w:rPr>
      </w:pPr>
      <w:r w:rsidRPr="00E87EA1">
        <w:rPr>
          <w:rFonts w:ascii="Calibri" w:hAnsi="Calibri"/>
          <w:b/>
          <w:sz w:val="22"/>
          <w:szCs w:val="22"/>
        </w:rPr>
        <w:t xml:space="preserve">Policy: </w:t>
      </w:r>
      <w:r w:rsidR="0034040D" w:rsidRPr="00E87EA1">
        <w:rPr>
          <w:rFonts w:ascii="Calibri" w:hAnsi="Calibri" w:cs="Verdana"/>
          <w:color w:val="000000"/>
          <w:sz w:val="22"/>
          <w:szCs w:val="22"/>
        </w:rPr>
        <w:t xml:space="preserve">It is the policy of UTHSC-H that all essential research records be </w:t>
      </w:r>
      <w:r w:rsidR="0057684A" w:rsidRPr="00E87EA1">
        <w:rPr>
          <w:rFonts w:ascii="Calibri" w:hAnsi="Calibri" w:cs="Verdana"/>
          <w:color w:val="000000"/>
          <w:sz w:val="22"/>
          <w:szCs w:val="22"/>
        </w:rPr>
        <w:t>maintain</w:t>
      </w:r>
      <w:r w:rsidR="0034040D" w:rsidRPr="00E87EA1">
        <w:rPr>
          <w:rFonts w:ascii="Calibri" w:hAnsi="Calibri" w:cs="Verdana"/>
          <w:color w:val="000000"/>
          <w:sz w:val="22"/>
          <w:szCs w:val="22"/>
        </w:rPr>
        <w:t>ed</w:t>
      </w:r>
      <w:r w:rsidR="0057684A" w:rsidRPr="00E87EA1">
        <w:rPr>
          <w:rFonts w:ascii="Calibri" w:hAnsi="Calibri" w:cs="Verdana"/>
          <w:color w:val="000000"/>
          <w:sz w:val="22"/>
          <w:szCs w:val="22"/>
        </w:rPr>
        <w:t xml:space="preserve"> </w:t>
      </w:r>
      <w:r w:rsidR="0034040D" w:rsidRPr="00E87EA1">
        <w:rPr>
          <w:rFonts w:ascii="Calibri" w:hAnsi="Calibri" w:cs="Verdana"/>
          <w:color w:val="000000"/>
          <w:sz w:val="22"/>
          <w:szCs w:val="22"/>
        </w:rPr>
        <w:t xml:space="preserve">in a secure location for the duration </w:t>
      </w:r>
      <w:r w:rsidR="003E5DB0" w:rsidRPr="00E87EA1">
        <w:rPr>
          <w:rFonts w:ascii="Calibri" w:hAnsi="Calibri" w:cs="Verdana"/>
          <w:color w:val="000000"/>
          <w:sz w:val="22"/>
          <w:szCs w:val="22"/>
        </w:rPr>
        <w:t xml:space="preserve">required by this </w:t>
      </w:r>
      <w:r w:rsidR="0034040D" w:rsidRPr="00E87EA1">
        <w:rPr>
          <w:rFonts w:ascii="Calibri" w:hAnsi="Calibri" w:cs="Verdana"/>
          <w:color w:val="000000"/>
          <w:sz w:val="22"/>
          <w:szCs w:val="22"/>
        </w:rPr>
        <w:t xml:space="preserve">policy and procedure. </w:t>
      </w:r>
    </w:p>
    <w:p w:rsidR="00E87EA1" w:rsidRDefault="00E87EA1" w:rsidP="00306978">
      <w:pPr>
        <w:autoSpaceDE w:val="0"/>
        <w:autoSpaceDN w:val="0"/>
        <w:adjustRightInd w:val="0"/>
        <w:jc w:val="both"/>
        <w:rPr>
          <w:rFonts w:ascii="Calibri" w:hAnsi="Calibri" w:cs="Verdana"/>
          <w:sz w:val="22"/>
          <w:szCs w:val="22"/>
        </w:rPr>
      </w:pPr>
    </w:p>
    <w:p w:rsidR="00306978" w:rsidRPr="00306978" w:rsidRDefault="00306978" w:rsidP="00306978">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b/>
          <w:sz w:val="22"/>
          <w:szCs w:val="22"/>
        </w:rPr>
      </w:pPr>
      <w:r w:rsidRPr="00306978">
        <w:rPr>
          <w:rFonts w:ascii="Calibri" w:hAnsi="Calibri" w:cs="Verdana"/>
          <w:b/>
          <w:sz w:val="22"/>
          <w:szCs w:val="22"/>
        </w:rPr>
        <w:t>Key Terms</w:t>
      </w:r>
    </w:p>
    <w:p w:rsidR="00306978" w:rsidRDefault="00306978" w:rsidP="00306978">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p>
    <w:p w:rsidR="00306978" w:rsidRDefault="00306978" w:rsidP="00306978">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306978">
        <w:rPr>
          <w:rFonts w:ascii="Calibri" w:hAnsi="Calibri" w:cs="Verdana"/>
          <w:b/>
          <w:sz w:val="22"/>
          <w:szCs w:val="22"/>
        </w:rPr>
        <w:t xml:space="preserve">Essential Documents: </w:t>
      </w:r>
      <w:r w:rsidRPr="00306978">
        <w:rPr>
          <w:rFonts w:ascii="Calibri" w:hAnsi="Calibri" w:cs="Verdana"/>
          <w:sz w:val="22"/>
          <w:szCs w:val="22"/>
        </w:rPr>
        <w:t>Essential documents are those documents which individually and collectively permit evaluation of the conduct of research and the quality of data produced.</w:t>
      </w:r>
    </w:p>
    <w:p w:rsidR="00306978" w:rsidRDefault="00306978" w:rsidP="00306978">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p>
    <w:p w:rsidR="00306978" w:rsidRPr="00E87EA1" w:rsidRDefault="00306978" w:rsidP="00306978">
      <w:pPr>
        <w:autoSpaceDE w:val="0"/>
        <w:autoSpaceDN w:val="0"/>
        <w:adjustRightInd w:val="0"/>
        <w:jc w:val="both"/>
        <w:rPr>
          <w:rFonts w:ascii="Calibri" w:hAnsi="Calibri" w:cs="Verdana"/>
          <w:sz w:val="22"/>
          <w:szCs w:val="22"/>
        </w:rPr>
      </w:pPr>
    </w:p>
    <w:p w:rsidR="00E87EA1" w:rsidRPr="00E87EA1" w:rsidRDefault="00E87EA1" w:rsidP="00E87EA1">
      <w:pPr>
        <w:autoSpaceDE w:val="0"/>
        <w:autoSpaceDN w:val="0"/>
        <w:adjustRightInd w:val="0"/>
        <w:jc w:val="both"/>
        <w:rPr>
          <w:rFonts w:ascii="Calibri" w:hAnsi="Calibri" w:cs="Verdana"/>
          <w:sz w:val="22"/>
          <w:szCs w:val="22"/>
        </w:rPr>
      </w:pPr>
      <w:r w:rsidRPr="00E87EA1">
        <w:rPr>
          <w:rFonts w:ascii="Calibri" w:hAnsi="Calibri" w:cs="Verdana"/>
          <w:b/>
          <w:color w:val="000000"/>
          <w:sz w:val="22"/>
          <w:szCs w:val="22"/>
        </w:rPr>
        <w:t>Period of Retention</w:t>
      </w:r>
      <w:r w:rsidRPr="00E87EA1">
        <w:rPr>
          <w:rFonts w:ascii="Calibri" w:hAnsi="Calibri" w:cs="Verdana"/>
          <w:color w:val="000000"/>
          <w:sz w:val="22"/>
          <w:szCs w:val="22"/>
        </w:rPr>
        <w:t xml:space="preserve">: Depends on the type of research being conducted and the source of funding for the research: </w:t>
      </w:r>
    </w:p>
    <w:p w:rsidR="00E87EA1" w:rsidRPr="00E87EA1" w:rsidRDefault="00E87EA1" w:rsidP="00E87EA1">
      <w:pPr>
        <w:numPr>
          <w:ilvl w:val="0"/>
          <w:numId w:val="27"/>
        </w:numPr>
        <w:autoSpaceDE w:val="0"/>
        <w:autoSpaceDN w:val="0"/>
        <w:adjustRightInd w:val="0"/>
        <w:ind w:left="360" w:hanging="360"/>
        <w:jc w:val="both"/>
        <w:rPr>
          <w:rFonts w:ascii="Calibri" w:hAnsi="Calibri" w:cs="Verdana"/>
          <w:color w:val="000000"/>
          <w:sz w:val="22"/>
          <w:szCs w:val="22"/>
        </w:rPr>
      </w:pPr>
      <w:r w:rsidRPr="00E87EA1">
        <w:rPr>
          <w:rFonts w:ascii="Calibri" w:hAnsi="Calibri" w:cs="Verdana"/>
          <w:color w:val="000000"/>
          <w:sz w:val="22"/>
          <w:szCs w:val="22"/>
        </w:rPr>
        <w:t xml:space="preserve">For industry sponsored research, essential study documents should be retained for as long as specified in the study contract. </w:t>
      </w:r>
    </w:p>
    <w:p w:rsidR="00E87EA1" w:rsidRPr="00E87EA1" w:rsidRDefault="00E87EA1" w:rsidP="00E87EA1">
      <w:pPr>
        <w:numPr>
          <w:ilvl w:val="0"/>
          <w:numId w:val="27"/>
        </w:numPr>
        <w:autoSpaceDE w:val="0"/>
        <w:autoSpaceDN w:val="0"/>
        <w:adjustRightInd w:val="0"/>
        <w:ind w:left="360" w:hanging="360"/>
        <w:jc w:val="both"/>
        <w:rPr>
          <w:rFonts w:ascii="Calibri" w:hAnsi="Calibri" w:cs="Verdana"/>
          <w:sz w:val="22"/>
          <w:szCs w:val="22"/>
        </w:rPr>
      </w:pPr>
      <w:r w:rsidRPr="00E87EA1">
        <w:rPr>
          <w:rFonts w:ascii="Calibri" w:hAnsi="Calibri" w:cs="Verdana"/>
          <w:color w:val="000000"/>
          <w:sz w:val="22"/>
          <w:szCs w:val="22"/>
        </w:rPr>
        <w:t xml:space="preserve">For investigator initiated research under FDA oversight, i.e. research involving drugs or devices, essential study </w:t>
      </w:r>
      <w:r w:rsidRPr="00E87EA1">
        <w:rPr>
          <w:rFonts w:ascii="Calibri" w:hAnsi="Calibri" w:cs="Verdana"/>
          <w:sz w:val="22"/>
          <w:szCs w:val="22"/>
        </w:rPr>
        <w:t xml:space="preserve">documents should be retained </w:t>
      </w:r>
      <w:r w:rsidRPr="00E87EA1">
        <w:rPr>
          <w:rFonts w:ascii="Calibri" w:hAnsi="Calibri"/>
          <w:sz w:val="22"/>
          <w:szCs w:val="22"/>
        </w:rPr>
        <w:t xml:space="preserve">for at least 15 years after the completion of the study at this site. </w:t>
      </w:r>
    </w:p>
    <w:p w:rsidR="00E87EA1" w:rsidRPr="00E87EA1" w:rsidRDefault="00E87EA1" w:rsidP="00E87EA1">
      <w:pPr>
        <w:numPr>
          <w:ilvl w:val="0"/>
          <w:numId w:val="27"/>
        </w:numPr>
        <w:autoSpaceDE w:val="0"/>
        <w:autoSpaceDN w:val="0"/>
        <w:adjustRightInd w:val="0"/>
        <w:ind w:left="360" w:hanging="360"/>
        <w:jc w:val="both"/>
        <w:rPr>
          <w:rFonts w:ascii="Calibri" w:hAnsi="Calibri" w:cs="Verdana"/>
          <w:color w:val="000000"/>
          <w:sz w:val="22"/>
          <w:szCs w:val="22"/>
        </w:rPr>
      </w:pPr>
      <w:r w:rsidRPr="00E87EA1">
        <w:rPr>
          <w:rFonts w:ascii="Calibri" w:hAnsi="Calibri" w:cs="Verdana"/>
          <w:color w:val="000000"/>
          <w:sz w:val="22"/>
          <w:szCs w:val="22"/>
        </w:rPr>
        <w:t xml:space="preserve">For all other research, </w:t>
      </w:r>
      <w:r w:rsidR="00306978">
        <w:rPr>
          <w:rFonts w:ascii="Calibri" w:hAnsi="Calibri" w:cs="Verdana"/>
          <w:color w:val="000000"/>
          <w:sz w:val="22"/>
          <w:szCs w:val="22"/>
        </w:rPr>
        <w:t>essential study</w:t>
      </w:r>
      <w:r w:rsidRPr="00E87EA1">
        <w:rPr>
          <w:rFonts w:ascii="Calibri" w:hAnsi="Calibri" w:cs="Verdana"/>
          <w:color w:val="000000"/>
          <w:sz w:val="22"/>
          <w:szCs w:val="22"/>
        </w:rPr>
        <w:t xml:space="preserve"> documents should be retained for at least 15 years after completion of the research study at this site. </w:t>
      </w:r>
    </w:p>
    <w:p w:rsidR="00E87EA1" w:rsidRPr="00E87EA1" w:rsidRDefault="00E87EA1" w:rsidP="00E87EA1">
      <w:pPr>
        <w:autoSpaceDE w:val="0"/>
        <w:autoSpaceDN w:val="0"/>
        <w:adjustRightInd w:val="0"/>
        <w:ind w:left="720"/>
        <w:jc w:val="both"/>
        <w:rPr>
          <w:rFonts w:ascii="Calibri" w:hAnsi="Calibri" w:cs="Verdana"/>
          <w:sz w:val="22"/>
          <w:szCs w:val="22"/>
        </w:rPr>
      </w:pPr>
    </w:p>
    <w:p w:rsidR="00ED7822" w:rsidRPr="00E87EA1" w:rsidRDefault="00E87EA1" w:rsidP="00E87EA1">
      <w:pPr>
        <w:pStyle w:val="ListParagraph"/>
        <w:autoSpaceDE w:val="0"/>
        <w:autoSpaceDN w:val="0"/>
        <w:adjustRightInd w:val="0"/>
        <w:ind w:left="0"/>
      </w:pPr>
      <w:r w:rsidRPr="00E87EA1">
        <w:rPr>
          <w:rFonts w:cs="Verdana"/>
          <w:b/>
        </w:rPr>
        <w:t xml:space="preserve">Essential Documents: </w:t>
      </w:r>
      <w:r w:rsidRPr="00E87EA1">
        <w:rPr>
          <w:rFonts w:cs="Verdana"/>
          <w:color w:val="000000"/>
        </w:rPr>
        <w:t>Essential documents are those documents which individually and collectively permit evaluation of the conduct of research and the quality of data produced. These documents serve to demonstrate the compliance during the conduct of research to applicable regulatory requirements and institutional policies. E</w:t>
      </w:r>
      <w:r w:rsidR="00ED7822" w:rsidRPr="00E87EA1">
        <w:rPr>
          <w:rFonts w:cs="Verdana"/>
        </w:rPr>
        <w:t>ssential documents must be retained for the specified duration. Essential documents include, but are not limited to:</w:t>
      </w:r>
    </w:p>
    <w:p w:rsidR="00ED7822" w:rsidRPr="00E87EA1" w:rsidRDefault="00ED7822"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Approved Protocol and all Amendments</w:t>
      </w:r>
    </w:p>
    <w:p w:rsidR="00ED7822" w:rsidRPr="00E87EA1" w:rsidRDefault="00ED7822"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Approved Consent Form</w:t>
      </w:r>
    </w:p>
    <w:p w:rsidR="00ED7822" w:rsidRPr="00E87EA1" w:rsidRDefault="00ED7822"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Investigator Brochure (if available)</w:t>
      </w:r>
    </w:p>
    <w:p w:rsidR="00ED7822" w:rsidRPr="00E87EA1" w:rsidRDefault="00ED7822"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IRB Approval Letters (initial, continuing, amendments)</w:t>
      </w:r>
    </w:p>
    <w:p w:rsidR="00ED7822" w:rsidRPr="00E87EA1" w:rsidRDefault="00ED7822"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Signed Consent Forms</w:t>
      </w:r>
    </w:p>
    <w:p w:rsidR="00ED7822" w:rsidRPr="00E87EA1" w:rsidRDefault="00ED7822"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Source Documents</w:t>
      </w:r>
    </w:p>
    <w:p w:rsidR="00ED7822" w:rsidRPr="00E87EA1" w:rsidRDefault="00ED7822"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Case Report Forms</w:t>
      </w:r>
    </w:p>
    <w:p w:rsidR="00ED7822" w:rsidRPr="00E87EA1" w:rsidRDefault="00ED7822"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Unanticipated Problem Reports and Adverse Event Reports</w:t>
      </w:r>
    </w:p>
    <w:p w:rsidR="00ED7822" w:rsidRPr="00E87EA1" w:rsidRDefault="00ED7822"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Drug / Device Accountability Logs</w:t>
      </w:r>
    </w:p>
    <w:p w:rsidR="00ED7822" w:rsidRPr="00E87EA1" w:rsidRDefault="00ED7822"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Reports to IRB, Federal Agencies, Sponsor</w:t>
      </w:r>
    </w:p>
    <w:p w:rsidR="003E5DB0" w:rsidRPr="00E87EA1" w:rsidRDefault="003E5DB0"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Records of Monitoring, Audits and Inspections</w:t>
      </w:r>
    </w:p>
    <w:p w:rsidR="003E5DB0" w:rsidRPr="00E87EA1" w:rsidRDefault="003E5DB0" w:rsidP="00E87EA1">
      <w:pPr>
        <w:numPr>
          <w:ilvl w:val="1"/>
          <w:numId w:val="26"/>
        </w:numPr>
        <w:autoSpaceDE w:val="0"/>
        <w:autoSpaceDN w:val="0"/>
        <w:adjustRightInd w:val="0"/>
        <w:ind w:left="360" w:hanging="360"/>
        <w:jc w:val="both"/>
        <w:rPr>
          <w:rFonts w:ascii="Calibri" w:hAnsi="Calibri" w:cs="Verdana"/>
          <w:sz w:val="22"/>
          <w:szCs w:val="22"/>
        </w:rPr>
      </w:pPr>
      <w:r w:rsidRPr="00E87EA1">
        <w:rPr>
          <w:rFonts w:ascii="Calibri" w:hAnsi="Calibri" w:cs="Verdana"/>
          <w:sz w:val="22"/>
          <w:szCs w:val="22"/>
        </w:rPr>
        <w:t>Study Participants Master Contact Log</w:t>
      </w:r>
    </w:p>
    <w:p w:rsidR="00ED7822" w:rsidRPr="00E87EA1" w:rsidRDefault="00ED7822" w:rsidP="00ED7822">
      <w:pPr>
        <w:autoSpaceDE w:val="0"/>
        <w:autoSpaceDN w:val="0"/>
        <w:adjustRightInd w:val="0"/>
        <w:ind w:left="720"/>
        <w:jc w:val="both"/>
        <w:rPr>
          <w:rFonts w:ascii="Calibri" w:hAnsi="Calibri" w:cs="Verdana"/>
          <w:sz w:val="22"/>
          <w:szCs w:val="22"/>
        </w:rPr>
      </w:pPr>
    </w:p>
    <w:p w:rsidR="0034040D" w:rsidRPr="00E87EA1" w:rsidRDefault="00E87EA1" w:rsidP="00E87EA1">
      <w:pPr>
        <w:autoSpaceDE w:val="0"/>
        <w:autoSpaceDN w:val="0"/>
        <w:adjustRightInd w:val="0"/>
        <w:jc w:val="both"/>
        <w:rPr>
          <w:rFonts w:ascii="Calibri" w:hAnsi="Calibri"/>
          <w:sz w:val="22"/>
          <w:szCs w:val="22"/>
        </w:rPr>
      </w:pPr>
      <w:r w:rsidRPr="00E87EA1">
        <w:rPr>
          <w:rFonts w:ascii="Calibri" w:hAnsi="Calibri"/>
          <w:b/>
          <w:sz w:val="22"/>
          <w:szCs w:val="22"/>
        </w:rPr>
        <w:t xml:space="preserve">Storage: </w:t>
      </w:r>
      <w:r w:rsidR="0034040D" w:rsidRPr="00E87EA1">
        <w:rPr>
          <w:rFonts w:ascii="Calibri" w:hAnsi="Calibri"/>
          <w:sz w:val="22"/>
          <w:szCs w:val="22"/>
        </w:rPr>
        <w:t xml:space="preserve">After study closeout, the Principal Investigator and/or Study Coordinator should organize essential research records for storage. Records should be stored in a manner that is easily accessible for review by regulatory inspectors, sponsor monitors, sponsor auditors and IRB monitors. </w:t>
      </w:r>
    </w:p>
    <w:p w:rsidR="0034040D" w:rsidRPr="00E87EA1" w:rsidRDefault="0034040D" w:rsidP="0034040D">
      <w:pPr>
        <w:autoSpaceDE w:val="0"/>
        <w:autoSpaceDN w:val="0"/>
        <w:adjustRightInd w:val="0"/>
        <w:ind w:left="720"/>
        <w:jc w:val="both"/>
        <w:rPr>
          <w:rFonts w:ascii="Calibri" w:hAnsi="Calibri"/>
          <w:sz w:val="22"/>
          <w:szCs w:val="22"/>
        </w:rPr>
      </w:pPr>
    </w:p>
    <w:p w:rsidR="00161373" w:rsidRPr="00E87EA1" w:rsidRDefault="0034040D" w:rsidP="00E87EA1">
      <w:pPr>
        <w:autoSpaceDE w:val="0"/>
        <w:autoSpaceDN w:val="0"/>
        <w:adjustRightInd w:val="0"/>
        <w:jc w:val="both"/>
        <w:rPr>
          <w:rFonts w:ascii="Calibri" w:hAnsi="Calibri"/>
          <w:sz w:val="22"/>
          <w:szCs w:val="22"/>
        </w:rPr>
      </w:pPr>
      <w:r w:rsidRPr="00E87EA1">
        <w:rPr>
          <w:rFonts w:ascii="Calibri" w:hAnsi="Calibri"/>
          <w:sz w:val="22"/>
          <w:szCs w:val="22"/>
        </w:rPr>
        <w:t xml:space="preserve">Records may be stored within the institution or arrangements may be made to archive research records </w:t>
      </w:r>
      <w:r w:rsidR="00B4768B" w:rsidRPr="00E87EA1">
        <w:rPr>
          <w:rFonts w:ascii="Calibri" w:hAnsi="Calibri"/>
          <w:sz w:val="22"/>
          <w:szCs w:val="22"/>
        </w:rPr>
        <w:t xml:space="preserve">in an offsite secure location. </w:t>
      </w:r>
      <w:r w:rsidRPr="00E87EA1">
        <w:rPr>
          <w:rFonts w:ascii="Calibri" w:hAnsi="Calibri"/>
          <w:sz w:val="22"/>
          <w:szCs w:val="22"/>
        </w:rPr>
        <w:t>It is good practice to check if the offsite location has protection against fire, theft and other disasters. &lt;is there a process for this? Who is notified? &gt;</w:t>
      </w:r>
    </w:p>
    <w:p w:rsidR="0034040D" w:rsidRPr="00E87EA1" w:rsidRDefault="0034040D" w:rsidP="0034040D">
      <w:pPr>
        <w:pStyle w:val="ListParagraph"/>
      </w:pPr>
    </w:p>
    <w:p w:rsidR="00161373" w:rsidRPr="00E87EA1" w:rsidRDefault="00161373" w:rsidP="00E87EA1">
      <w:pPr>
        <w:autoSpaceDE w:val="0"/>
        <w:autoSpaceDN w:val="0"/>
        <w:adjustRightInd w:val="0"/>
        <w:jc w:val="both"/>
        <w:rPr>
          <w:rFonts w:ascii="Calibri" w:hAnsi="Calibri"/>
          <w:sz w:val="22"/>
          <w:szCs w:val="22"/>
        </w:rPr>
      </w:pPr>
      <w:r w:rsidRPr="00E87EA1">
        <w:rPr>
          <w:rFonts w:ascii="Calibri" w:hAnsi="Calibri"/>
          <w:b/>
          <w:sz w:val="22"/>
          <w:szCs w:val="22"/>
        </w:rPr>
        <w:lastRenderedPageBreak/>
        <w:t>Change in Study Personnel</w:t>
      </w:r>
      <w:r w:rsidRPr="00E87EA1">
        <w:rPr>
          <w:rFonts w:ascii="Calibri" w:hAnsi="Calibri"/>
          <w:sz w:val="22"/>
          <w:szCs w:val="22"/>
        </w:rPr>
        <w:t xml:space="preserve"> – if the Principal Investigator were to leave the institution during the records retention period, the responsibility of maintaining research records should be transferred to </w:t>
      </w:r>
      <w:r w:rsidR="00FC0B90" w:rsidRPr="00E87EA1">
        <w:rPr>
          <w:rFonts w:ascii="Calibri" w:hAnsi="Calibri"/>
          <w:sz w:val="22"/>
          <w:szCs w:val="22"/>
        </w:rPr>
        <w:t xml:space="preserve">another individual at the institution who is willing to accept responsibility for maintaining the records for the required time period. The sponsor should be notified in writing of the name and address of the individual assuming responsibility. </w:t>
      </w:r>
    </w:p>
    <w:p w:rsidR="00F8290A" w:rsidRPr="00E87EA1" w:rsidRDefault="00F8290A" w:rsidP="00F8290A">
      <w:pPr>
        <w:pStyle w:val="ListParagraph"/>
      </w:pPr>
    </w:p>
    <w:p w:rsidR="000F253A" w:rsidRPr="00E87EA1" w:rsidRDefault="00E87EA1" w:rsidP="00A872A2">
      <w:pPr>
        <w:rPr>
          <w:rFonts w:ascii="Calibri" w:hAnsi="Calibri"/>
          <w:b/>
          <w:sz w:val="22"/>
          <w:szCs w:val="22"/>
        </w:rPr>
      </w:pPr>
      <w:r w:rsidRPr="00E87EA1">
        <w:rPr>
          <w:rFonts w:ascii="Calibri" w:hAnsi="Calibri"/>
          <w:b/>
          <w:sz w:val="22"/>
          <w:szCs w:val="22"/>
        </w:rPr>
        <w:t>Applicable Regulations and Guidelines</w:t>
      </w:r>
    </w:p>
    <w:p w:rsidR="00E87EA1" w:rsidRPr="00E87EA1" w:rsidRDefault="003E5DB0" w:rsidP="00E87EA1">
      <w:pPr>
        <w:pStyle w:val="NormalWeb"/>
        <w:numPr>
          <w:ilvl w:val="0"/>
          <w:numId w:val="28"/>
        </w:numPr>
        <w:spacing w:before="0" w:beforeAutospacing="0" w:after="0" w:afterAutospacing="0"/>
        <w:jc w:val="both"/>
        <w:rPr>
          <w:rFonts w:ascii="Calibri" w:hAnsi="Calibri"/>
          <w:sz w:val="22"/>
          <w:szCs w:val="22"/>
        </w:rPr>
      </w:pPr>
      <w:r w:rsidRPr="00E87EA1">
        <w:rPr>
          <w:rFonts w:ascii="Calibri" w:hAnsi="Calibri"/>
          <w:b/>
          <w:sz w:val="22"/>
          <w:szCs w:val="22"/>
        </w:rPr>
        <w:t>Investigational Devices</w:t>
      </w:r>
      <w:r w:rsidRPr="00E87EA1">
        <w:rPr>
          <w:rFonts w:ascii="Calibri" w:hAnsi="Calibri"/>
          <w:sz w:val="22"/>
          <w:szCs w:val="22"/>
        </w:rPr>
        <w:t xml:space="preserve"> - 21 CFR 812.140(d) - </w:t>
      </w:r>
      <w:r w:rsidRPr="00E87EA1">
        <w:rPr>
          <w:rFonts w:ascii="Calibri" w:hAnsi="Calibri"/>
          <w:i/>
          <w:iCs/>
          <w:sz w:val="22"/>
          <w:szCs w:val="22"/>
        </w:rPr>
        <w:t>Retention period.</w:t>
      </w:r>
      <w:r w:rsidRPr="00E87EA1">
        <w:rPr>
          <w:rFonts w:ascii="Calibri" w:hAnsi="Calibri"/>
          <w:sz w:val="22"/>
          <w:szCs w:val="22"/>
        </w:rPr>
        <w:t xml:space="preserve"> An investigator or sponsor shall maintain the records required by this subpart during the investigation and for a period of 2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p w:rsidR="00E87EA1" w:rsidRPr="00E87EA1" w:rsidRDefault="00E87EA1" w:rsidP="00E87EA1">
      <w:pPr>
        <w:pStyle w:val="NormalWeb"/>
        <w:spacing w:before="0" w:beforeAutospacing="0" w:after="0" w:afterAutospacing="0"/>
        <w:ind w:left="360"/>
        <w:jc w:val="both"/>
        <w:rPr>
          <w:rFonts w:ascii="Calibri" w:hAnsi="Calibri"/>
          <w:sz w:val="22"/>
          <w:szCs w:val="22"/>
        </w:rPr>
      </w:pPr>
    </w:p>
    <w:p w:rsidR="00E87EA1" w:rsidRPr="00E87EA1" w:rsidRDefault="003E5DB0" w:rsidP="00E87EA1">
      <w:pPr>
        <w:pStyle w:val="NormalWeb"/>
        <w:numPr>
          <w:ilvl w:val="0"/>
          <w:numId w:val="28"/>
        </w:numPr>
        <w:spacing w:before="0" w:beforeAutospacing="0" w:after="0" w:afterAutospacing="0"/>
        <w:jc w:val="both"/>
        <w:rPr>
          <w:rFonts w:ascii="Calibri" w:hAnsi="Calibri"/>
          <w:sz w:val="22"/>
          <w:szCs w:val="22"/>
        </w:rPr>
      </w:pPr>
      <w:proofErr w:type="gramStart"/>
      <w:r w:rsidRPr="00E87EA1">
        <w:rPr>
          <w:rFonts w:ascii="Calibri" w:hAnsi="Calibri"/>
          <w:b/>
          <w:sz w:val="22"/>
          <w:szCs w:val="22"/>
        </w:rPr>
        <w:t>Investigational Drugs</w:t>
      </w:r>
      <w:r w:rsidRPr="00E87EA1">
        <w:rPr>
          <w:rFonts w:ascii="Calibri" w:hAnsi="Calibri"/>
          <w:sz w:val="22"/>
          <w:szCs w:val="22"/>
        </w:rPr>
        <w:t xml:space="preserve"> – 21 CFR 312.62(c) </w:t>
      </w:r>
      <w:r w:rsidRPr="00E87EA1">
        <w:rPr>
          <w:rFonts w:ascii="Calibri" w:hAnsi="Calibri"/>
          <w:i/>
          <w:iCs/>
          <w:sz w:val="22"/>
          <w:szCs w:val="22"/>
        </w:rPr>
        <w:t>Record retention.</w:t>
      </w:r>
      <w:proofErr w:type="gramEnd"/>
      <w:r w:rsidRPr="00E87EA1">
        <w:rPr>
          <w:rFonts w:ascii="Calibri" w:hAnsi="Calibri"/>
          <w:sz w:val="22"/>
          <w:szCs w:val="22"/>
        </w:rPr>
        <w:t xml:space="preserve"> An investigator shall retain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w:t>
      </w:r>
    </w:p>
    <w:p w:rsidR="00E87EA1" w:rsidRPr="00E87EA1" w:rsidRDefault="00E87EA1" w:rsidP="00E87EA1">
      <w:pPr>
        <w:pStyle w:val="ListParagraph"/>
        <w:rPr>
          <w:b/>
        </w:rPr>
      </w:pPr>
    </w:p>
    <w:p w:rsidR="003E5DB0" w:rsidRPr="00E87EA1" w:rsidRDefault="003E5DB0" w:rsidP="00E87EA1">
      <w:pPr>
        <w:pStyle w:val="NormalWeb"/>
        <w:numPr>
          <w:ilvl w:val="0"/>
          <w:numId w:val="28"/>
        </w:numPr>
        <w:spacing w:before="0" w:beforeAutospacing="0" w:after="0" w:afterAutospacing="0"/>
        <w:jc w:val="both"/>
        <w:rPr>
          <w:rFonts w:ascii="Calibri" w:hAnsi="Calibri"/>
          <w:sz w:val="22"/>
          <w:szCs w:val="22"/>
        </w:rPr>
      </w:pPr>
      <w:r w:rsidRPr="00E87EA1">
        <w:rPr>
          <w:rFonts w:ascii="Calibri" w:hAnsi="Calibri"/>
          <w:b/>
          <w:sz w:val="22"/>
          <w:szCs w:val="22"/>
        </w:rPr>
        <w:t>IRB Records</w:t>
      </w:r>
      <w:r w:rsidRPr="00E87EA1">
        <w:rPr>
          <w:rFonts w:ascii="Calibri" w:hAnsi="Calibri"/>
          <w:sz w:val="22"/>
          <w:szCs w:val="22"/>
        </w:rPr>
        <w:t xml:space="preserve"> – 45 CFR 46.115(b) </w:t>
      </w:r>
      <w:r w:rsidRPr="00E87EA1">
        <w:rPr>
          <w:rFonts w:ascii="Calibri" w:hAnsi="Calibri" w:cs="Garamond"/>
          <w:sz w:val="22"/>
          <w:szCs w:val="22"/>
        </w:rPr>
        <w:t>IRB records shall be retained for at least 3 years, and records relating to research which is conducted shall be retained for at least 3 years after completion of the research. All records shall be accessible for inspection and copying by authorized representatives of the department or agency at reasonable times and in a reasonable manner.</w:t>
      </w:r>
    </w:p>
    <w:p w:rsidR="00A872A2" w:rsidRPr="00E87EA1" w:rsidRDefault="00A872A2" w:rsidP="00A872A2">
      <w:pPr>
        <w:rPr>
          <w:rFonts w:ascii="Calibri" w:hAnsi="Calibri"/>
          <w:sz w:val="22"/>
          <w:szCs w:val="22"/>
        </w:rPr>
      </w:pPr>
    </w:p>
    <w:p w:rsidR="00A872A2" w:rsidRPr="00E87EA1" w:rsidRDefault="00E87EA1" w:rsidP="00A872A2">
      <w:pPr>
        <w:rPr>
          <w:rFonts w:ascii="Calibri" w:hAnsi="Calibri"/>
          <w:b/>
          <w:sz w:val="22"/>
          <w:szCs w:val="22"/>
        </w:rPr>
      </w:pPr>
      <w:r w:rsidRPr="00E87EA1">
        <w:rPr>
          <w:rFonts w:ascii="Calibri" w:hAnsi="Calibri"/>
          <w:b/>
          <w:sz w:val="22"/>
          <w:szCs w:val="22"/>
        </w:rPr>
        <w:t>Applicable Institutional Policies and Procedures</w:t>
      </w:r>
    </w:p>
    <w:p w:rsidR="003E5DB0" w:rsidRPr="00193CCD" w:rsidRDefault="003E5DB0" w:rsidP="00193CCD">
      <w:pPr>
        <w:pStyle w:val="ListParagraph"/>
        <w:numPr>
          <w:ilvl w:val="0"/>
          <w:numId w:val="30"/>
        </w:numPr>
      </w:pPr>
      <w:r w:rsidRPr="00193CCD">
        <w:t xml:space="preserve">Records Retention Schedule - </w:t>
      </w:r>
      <w:hyperlink r:id="rId6" w:history="1">
        <w:r w:rsidRPr="00193CCD">
          <w:rPr>
            <w:rStyle w:val="Hyperlink"/>
          </w:rPr>
          <w:t>http://records.uth.tmc.edu/retention_schedule.htm</w:t>
        </w:r>
      </w:hyperlink>
    </w:p>
    <w:p w:rsidR="00A872A2" w:rsidRPr="00E87EA1" w:rsidRDefault="00A872A2" w:rsidP="00A872A2">
      <w:pPr>
        <w:rPr>
          <w:rFonts w:ascii="Calibri" w:hAnsi="Calibri"/>
          <w:sz w:val="22"/>
          <w:szCs w:val="22"/>
        </w:rPr>
      </w:pPr>
    </w:p>
    <w:p w:rsidR="00A872A2" w:rsidRPr="00E87EA1" w:rsidRDefault="00E87EA1" w:rsidP="00A872A2">
      <w:pPr>
        <w:rPr>
          <w:rFonts w:ascii="Calibri" w:hAnsi="Calibri"/>
          <w:b/>
          <w:sz w:val="22"/>
          <w:szCs w:val="22"/>
        </w:rPr>
      </w:pPr>
      <w:r w:rsidRPr="00E87EA1">
        <w:rPr>
          <w:rFonts w:ascii="Calibri" w:hAnsi="Calibri"/>
          <w:b/>
          <w:sz w:val="22"/>
          <w:szCs w:val="22"/>
        </w:rPr>
        <w:t>Attachments</w:t>
      </w:r>
    </w:p>
    <w:p w:rsidR="003E5DB0" w:rsidRPr="00E87EA1" w:rsidRDefault="003E5DB0" w:rsidP="00E87EA1">
      <w:pPr>
        <w:numPr>
          <w:ilvl w:val="0"/>
          <w:numId w:val="29"/>
        </w:numPr>
        <w:ind w:left="360" w:hanging="360"/>
        <w:rPr>
          <w:rFonts w:ascii="Calibri" w:hAnsi="Calibri"/>
          <w:sz w:val="22"/>
          <w:szCs w:val="22"/>
        </w:rPr>
      </w:pPr>
      <w:r w:rsidRPr="00E87EA1">
        <w:rPr>
          <w:rFonts w:ascii="Calibri" w:hAnsi="Calibri"/>
          <w:sz w:val="22"/>
          <w:szCs w:val="22"/>
        </w:rPr>
        <w:t>Study Archival Checklist</w:t>
      </w:r>
    </w:p>
    <w:p w:rsidR="00A872A2" w:rsidRPr="00E87EA1" w:rsidRDefault="003E5DB0" w:rsidP="00E87EA1">
      <w:pPr>
        <w:numPr>
          <w:ilvl w:val="0"/>
          <w:numId w:val="29"/>
        </w:numPr>
        <w:ind w:left="360" w:hanging="360"/>
        <w:rPr>
          <w:rFonts w:ascii="Calibri" w:hAnsi="Calibri"/>
          <w:sz w:val="22"/>
          <w:szCs w:val="22"/>
        </w:rPr>
      </w:pPr>
      <w:r w:rsidRPr="00E87EA1">
        <w:rPr>
          <w:rFonts w:ascii="Calibri" w:hAnsi="Calibri"/>
          <w:sz w:val="22"/>
          <w:szCs w:val="22"/>
        </w:rPr>
        <w:t>Labels for Boxes</w:t>
      </w:r>
    </w:p>
    <w:p w:rsidR="003E5DB0" w:rsidRPr="00E87EA1" w:rsidRDefault="003E5DB0" w:rsidP="00E87EA1">
      <w:pPr>
        <w:numPr>
          <w:ilvl w:val="0"/>
          <w:numId w:val="29"/>
        </w:numPr>
        <w:ind w:left="360" w:hanging="360"/>
        <w:rPr>
          <w:rFonts w:ascii="Calibri" w:hAnsi="Calibri"/>
          <w:sz w:val="22"/>
          <w:szCs w:val="22"/>
        </w:rPr>
      </w:pPr>
      <w:r w:rsidRPr="00E87EA1">
        <w:rPr>
          <w:rFonts w:ascii="Calibri" w:hAnsi="Calibri"/>
          <w:sz w:val="22"/>
          <w:szCs w:val="22"/>
        </w:rPr>
        <w:t>List of Study Participants for Source Document Retention</w:t>
      </w:r>
    </w:p>
    <w:p w:rsidR="00193CCD" w:rsidRDefault="00193CCD" w:rsidP="00E87EA1">
      <w:pPr>
        <w:keepNext/>
        <w:keepLines/>
        <w:spacing w:line="276" w:lineRule="auto"/>
        <w:outlineLvl w:val="1"/>
        <w:rPr>
          <w:rFonts w:ascii="Calibri" w:hAnsi="Calibri" w:cs="Arial"/>
          <w:b/>
          <w:bCs/>
          <w:color w:val="000000"/>
          <w:sz w:val="22"/>
          <w:szCs w:val="22"/>
        </w:rPr>
      </w:pPr>
    </w:p>
    <w:p w:rsidR="00E87EA1" w:rsidRPr="00E87EA1" w:rsidRDefault="00E87EA1" w:rsidP="00193CCD">
      <w:pPr>
        <w:keepNext/>
        <w:keepLines/>
        <w:pBdr>
          <w:top w:val="single" w:sz="4" w:space="1" w:color="auto"/>
        </w:pBdr>
        <w:spacing w:line="276" w:lineRule="auto"/>
        <w:outlineLvl w:val="1"/>
        <w:rPr>
          <w:rFonts w:ascii="Calibri" w:hAnsi="Calibri" w:cs="Arial"/>
          <w:b/>
          <w:bCs/>
          <w:color w:val="000000"/>
          <w:sz w:val="22"/>
          <w:szCs w:val="22"/>
        </w:rPr>
      </w:pPr>
      <w:r w:rsidRPr="00E87EA1">
        <w:rPr>
          <w:rFonts w:ascii="Calibri" w:hAnsi="Calibri" w:cs="Arial"/>
          <w:b/>
          <w:bCs/>
          <w:color w:val="000000"/>
          <w:sz w:val="22"/>
          <w:szCs w:val="22"/>
        </w:rPr>
        <w:t xml:space="preserve">If you find errors in this document, contact </w:t>
      </w:r>
      <w:hyperlink r:id="rId7" w:history="1">
        <w:r w:rsidRPr="00E87EA1">
          <w:rPr>
            <w:rStyle w:val="Hyperlink"/>
            <w:rFonts w:ascii="Calibri" w:hAnsi="Calibri" w:cs="Arial"/>
            <w:b/>
            <w:bCs/>
            <w:color w:val="000000"/>
            <w:sz w:val="22"/>
            <w:szCs w:val="22"/>
          </w:rPr>
          <w:t>clinicaltrials@uth.tmc.edu</w:t>
        </w:r>
      </w:hyperlink>
    </w:p>
    <w:p w:rsidR="00E87EA1" w:rsidRPr="00E87EA1" w:rsidRDefault="00E87EA1" w:rsidP="00E87EA1">
      <w:pPr>
        <w:keepNext/>
        <w:keepLines/>
        <w:spacing w:line="276" w:lineRule="auto"/>
        <w:outlineLvl w:val="1"/>
        <w:rPr>
          <w:rFonts w:ascii="Calibri" w:hAnsi="Calibri"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6681"/>
      </w:tblGrid>
      <w:tr w:rsidR="00E87EA1" w:rsidRPr="00E87EA1" w:rsidTr="00E87EA1">
        <w:tc>
          <w:tcPr>
            <w:tcW w:w="2268" w:type="dxa"/>
            <w:vAlign w:val="center"/>
          </w:tcPr>
          <w:p w:rsidR="00E87EA1" w:rsidRPr="00E87EA1" w:rsidRDefault="00E87EA1" w:rsidP="00E87EA1">
            <w:pPr>
              <w:keepNext/>
              <w:keepLines/>
              <w:spacing w:line="276" w:lineRule="auto"/>
              <w:outlineLvl w:val="1"/>
              <w:rPr>
                <w:rFonts w:ascii="Calibri" w:hAnsi="Calibri" w:cs="Arial"/>
                <w:b/>
                <w:bCs/>
                <w:color w:val="000000"/>
                <w:sz w:val="22"/>
                <w:szCs w:val="22"/>
              </w:rPr>
            </w:pPr>
            <w:r w:rsidRPr="00E87EA1">
              <w:rPr>
                <w:rFonts w:ascii="Calibri" w:hAnsi="Calibri" w:cs="Arial"/>
                <w:b/>
                <w:bCs/>
                <w:color w:val="000000"/>
                <w:sz w:val="22"/>
                <w:szCs w:val="22"/>
              </w:rPr>
              <w:t>Document Number:</w:t>
            </w:r>
          </w:p>
        </w:tc>
        <w:tc>
          <w:tcPr>
            <w:tcW w:w="7200" w:type="dxa"/>
            <w:vAlign w:val="center"/>
          </w:tcPr>
          <w:p w:rsidR="00E87EA1" w:rsidRPr="00E87EA1" w:rsidRDefault="00E530F8" w:rsidP="00E87EA1">
            <w:pPr>
              <w:keepNext/>
              <w:keepLines/>
              <w:spacing w:line="276" w:lineRule="auto"/>
              <w:outlineLvl w:val="1"/>
              <w:rPr>
                <w:rFonts w:ascii="Calibri" w:hAnsi="Calibri" w:cs="Arial"/>
                <w:bCs/>
                <w:color w:val="000000"/>
                <w:sz w:val="22"/>
                <w:szCs w:val="22"/>
              </w:rPr>
            </w:pPr>
            <w:r>
              <w:rPr>
                <w:rFonts w:ascii="Calibri" w:hAnsi="Calibri" w:cs="Arial"/>
                <w:bCs/>
                <w:color w:val="000000"/>
                <w:sz w:val="22"/>
                <w:szCs w:val="22"/>
              </w:rPr>
              <w:t>402-023</w:t>
            </w:r>
          </w:p>
        </w:tc>
      </w:tr>
      <w:tr w:rsidR="00E87EA1" w:rsidRPr="00E87EA1" w:rsidTr="00E87EA1">
        <w:tc>
          <w:tcPr>
            <w:tcW w:w="2268" w:type="dxa"/>
            <w:vAlign w:val="center"/>
          </w:tcPr>
          <w:p w:rsidR="00E87EA1" w:rsidRPr="00E87EA1" w:rsidRDefault="00E87EA1" w:rsidP="00E87EA1">
            <w:pPr>
              <w:keepNext/>
              <w:keepLines/>
              <w:spacing w:line="276" w:lineRule="auto"/>
              <w:outlineLvl w:val="1"/>
              <w:rPr>
                <w:rFonts w:ascii="Calibri" w:hAnsi="Calibri" w:cs="Arial"/>
                <w:b/>
                <w:bCs/>
                <w:color w:val="000000"/>
                <w:sz w:val="22"/>
                <w:szCs w:val="22"/>
              </w:rPr>
            </w:pPr>
            <w:r w:rsidRPr="00E87EA1">
              <w:rPr>
                <w:rFonts w:ascii="Calibri" w:hAnsi="Calibri" w:cs="Arial"/>
                <w:b/>
                <w:bCs/>
                <w:color w:val="000000"/>
                <w:sz w:val="22"/>
                <w:szCs w:val="22"/>
              </w:rPr>
              <w:t>Author:</w:t>
            </w:r>
          </w:p>
        </w:tc>
        <w:tc>
          <w:tcPr>
            <w:tcW w:w="7200" w:type="dxa"/>
            <w:vAlign w:val="center"/>
          </w:tcPr>
          <w:p w:rsidR="00E87EA1" w:rsidRPr="00E87EA1" w:rsidRDefault="00E87EA1" w:rsidP="00E87EA1">
            <w:pPr>
              <w:keepNext/>
              <w:keepLines/>
              <w:spacing w:line="276" w:lineRule="auto"/>
              <w:outlineLvl w:val="1"/>
              <w:rPr>
                <w:rFonts w:ascii="Calibri" w:hAnsi="Calibri" w:cs="Arial"/>
                <w:bCs/>
                <w:color w:val="000000"/>
                <w:sz w:val="22"/>
                <w:szCs w:val="22"/>
              </w:rPr>
            </w:pPr>
            <w:r w:rsidRPr="00E87EA1">
              <w:rPr>
                <w:rFonts w:ascii="Calibri" w:hAnsi="Calibri" w:cs="Arial"/>
                <w:bCs/>
                <w:color w:val="000000"/>
                <w:sz w:val="22"/>
                <w:szCs w:val="22"/>
              </w:rPr>
              <w:t>Clinical Trials Resource Center</w:t>
            </w:r>
          </w:p>
        </w:tc>
      </w:tr>
      <w:tr w:rsidR="00E87EA1" w:rsidRPr="00E87EA1" w:rsidTr="00E87EA1">
        <w:tc>
          <w:tcPr>
            <w:tcW w:w="2268" w:type="dxa"/>
            <w:vAlign w:val="center"/>
          </w:tcPr>
          <w:p w:rsidR="00E87EA1" w:rsidRPr="00E87EA1" w:rsidRDefault="00E87EA1" w:rsidP="00E87EA1">
            <w:pPr>
              <w:keepNext/>
              <w:keepLines/>
              <w:spacing w:line="276" w:lineRule="auto"/>
              <w:outlineLvl w:val="1"/>
              <w:rPr>
                <w:rFonts w:ascii="Calibri" w:hAnsi="Calibri" w:cs="Arial"/>
                <w:b/>
                <w:bCs/>
                <w:color w:val="000000"/>
                <w:sz w:val="22"/>
                <w:szCs w:val="22"/>
              </w:rPr>
            </w:pPr>
            <w:r w:rsidRPr="00E87EA1">
              <w:rPr>
                <w:rFonts w:ascii="Calibri" w:hAnsi="Calibri" w:cs="Arial"/>
                <w:b/>
                <w:bCs/>
                <w:color w:val="000000"/>
                <w:sz w:val="22"/>
                <w:szCs w:val="22"/>
              </w:rPr>
              <w:t>Effective:</w:t>
            </w:r>
          </w:p>
        </w:tc>
        <w:tc>
          <w:tcPr>
            <w:tcW w:w="7200" w:type="dxa"/>
            <w:vAlign w:val="center"/>
          </w:tcPr>
          <w:p w:rsidR="00E87EA1" w:rsidRPr="00E87EA1" w:rsidRDefault="00E530F8" w:rsidP="00E87EA1">
            <w:pPr>
              <w:keepNext/>
              <w:keepLines/>
              <w:spacing w:line="276" w:lineRule="auto"/>
              <w:outlineLvl w:val="1"/>
              <w:rPr>
                <w:rFonts w:ascii="Calibri" w:hAnsi="Calibri" w:cs="Arial"/>
                <w:bCs/>
                <w:color w:val="000000"/>
                <w:sz w:val="22"/>
                <w:szCs w:val="22"/>
              </w:rPr>
            </w:pPr>
            <w:r>
              <w:rPr>
                <w:rFonts w:ascii="Calibri" w:hAnsi="Calibri" w:cs="Arial"/>
                <w:bCs/>
                <w:color w:val="000000"/>
                <w:sz w:val="22"/>
                <w:szCs w:val="22"/>
              </w:rPr>
              <w:t>June 1, 2011</w:t>
            </w:r>
          </w:p>
        </w:tc>
      </w:tr>
      <w:tr w:rsidR="00E87EA1" w:rsidRPr="00E87EA1" w:rsidTr="00E87EA1">
        <w:tc>
          <w:tcPr>
            <w:tcW w:w="2268" w:type="dxa"/>
            <w:vAlign w:val="center"/>
          </w:tcPr>
          <w:p w:rsidR="00E87EA1" w:rsidRPr="00E87EA1" w:rsidRDefault="00E87EA1" w:rsidP="00E87EA1">
            <w:pPr>
              <w:keepNext/>
              <w:keepLines/>
              <w:spacing w:line="276" w:lineRule="auto"/>
              <w:outlineLvl w:val="1"/>
              <w:rPr>
                <w:rFonts w:ascii="Calibri" w:hAnsi="Calibri" w:cs="Arial"/>
                <w:b/>
                <w:bCs/>
                <w:color w:val="000000"/>
                <w:sz w:val="22"/>
                <w:szCs w:val="22"/>
              </w:rPr>
            </w:pPr>
            <w:r w:rsidRPr="00E87EA1">
              <w:rPr>
                <w:rFonts w:ascii="Calibri" w:hAnsi="Calibri" w:cs="Arial"/>
                <w:b/>
                <w:bCs/>
                <w:color w:val="000000"/>
                <w:sz w:val="22"/>
                <w:szCs w:val="22"/>
              </w:rPr>
              <w:t>Revision History:</w:t>
            </w:r>
          </w:p>
        </w:tc>
        <w:tc>
          <w:tcPr>
            <w:tcW w:w="7200" w:type="dxa"/>
            <w:vAlign w:val="center"/>
          </w:tcPr>
          <w:p w:rsidR="00E87EA1" w:rsidRPr="00E87EA1" w:rsidRDefault="00E87EA1" w:rsidP="00E87EA1">
            <w:pPr>
              <w:keepNext/>
              <w:keepLines/>
              <w:spacing w:line="276" w:lineRule="auto"/>
              <w:outlineLvl w:val="1"/>
              <w:rPr>
                <w:rFonts w:ascii="Calibri" w:hAnsi="Calibri" w:cs="Arial"/>
                <w:bCs/>
                <w:color w:val="000000"/>
                <w:sz w:val="22"/>
                <w:szCs w:val="22"/>
              </w:rPr>
            </w:pPr>
            <w:r w:rsidRPr="00E87EA1">
              <w:rPr>
                <w:rFonts w:ascii="Calibri" w:hAnsi="Calibri" w:cs="Arial"/>
                <w:bCs/>
                <w:color w:val="000000"/>
                <w:sz w:val="22"/>
                <w:szCs w:val="22"/>
              </w:rPr>
              <w:t>None</w:t>
            </w:r>
          </w:p>
        </w:tc>
      </w:tr>
      <w:tr w:rsidR="00E87EA1" w:rsidRPr="00E87EA1" w:rsidTr="00E87EA1">
        <w:tc>
          <w:tcPr>
            <w:tcW w:w="2268" w:type="dxa"/>
            <w:vAlign w:val="center"/>
          </w:tcPr>
          <w:p w:rsidR="00E87EA1" w:rsidRPr="00E87EA1" w:rsidRDefault="00E87EA1" w:rsidP="00E87EA1">
            <w:pPr>
              <w:keepNext/>
              <w:keepLines/>
              <w:spacing w:line="276" w:lineRule="auto"/>
              <w:outlineLvl w:val="1"/>
              <w:rPr>
                <w:rFonts w:ascii="Calibri" w:hAnsi="Calibri" w:cs="Arial"/>
                <w:b/>
                <w:bCs/>
                <w:color w:val="000000"/>
                <w:sz w:val="22"/>
                <w:szCs w:val="22"/>
              </w:rPr>
            </w:pPr>
          </w:p>
        </w:tc>
        <w:tc>
          <w:tcPr>
            <w:tcW w:w="7200" w:type="dxa"/>
            <w:vAlign w:val="center"/>
          </w:tcPr>
          <w:p w:rsidR="00E87EA1" w:rsidRPr="00E87EA1" w:rsidRDefault="00E87EA1" w:rsidP="00E87EA1">
            <w:pPr>
              <w:keepNext/>
              <w:keepLines/>
              <w:spacing w:line="276" w:lineRule="auto"/>
              <w:outlineLvl w:val="1"/>
              <w:rPr>
                <w:rFonts w:ascii="Calibri" w:hAnsi="Calibri" w:cs="Arial"/>
                <w:b/>
                <w:bCs/>
                <w:color w:val="000000"/>
                <w:sz w:val="22"/>
                <w:szCs w:val="22"/>
              </w:rPr>
            </w:pPr>
          </w:p>
        </w:tc>
      </w:tr>
      <w:tr w:rsidR="00E87EA1" w:rsidRPr="00E87EA1" w:rsidTr="00E87EA1">
        <w:tc>
          <w:tcPr>
            <w:tcW w:w="2268" w:type="dxa"/>
            <w:vAlign w:val="center"/>
          </w:tcPr>
          <w:p w:rsidR="00E87EA1" w:rsidRPr="00E87EA1" w:rsidRDefault="00E87EA1" w:rsidP="00E87EA1">
            <w:pPr>
              <w:keepNext/>
              <w:keepLines/>
              <w:spacing w:line="276" w:lineRule="auto"/>
              <w:outlineLvl w:val="1"/>
              <w:rPr>
                <w:rFonts w:ascii="Calibri" w:hAnsi="Calibri" w:cs="Arial"/>
                <w:b/>
                <w:bCs/>
                <w:color w:val="000000"/>
                <w:sz w:val="22"/>
                <w:szCs w:val="22"/>
              </w:rPr>
            </w:pPr>
          </w:p>
        </w:tc>
        <w:tc>
          <w:tcPr>
            <w:tcW w:w="7200" w:type="dxa"/>
            <w:vAlign w:val="center"/>
          </w:tcPr>
          <w:p w:rsidR="00E87EA1" w:rsidRPr="00E87EA1" w:rsidRDefault="00E87EA1" w:rsidP="00E87EA1">
            <w:pPr>
              <w:keepNext/>
              <w:keepLines/>
              <w:spacing w:line="276" w:lineRule="auto"/>
              <w:outlineLvl w:val="1"/>
              <w:rPr>
                <w:rFonts w:ascii="Calibri" w:hAnsi="Calibri" w:cs="Arial"/>
                <w:b/>
                <w:bCs/>
                <w:color w:val="000000"/>
                <w:sz w:val="22"/>
                <w:szCs w:val="22"/>
              </w:rPr>
            </w:pPr>
          </w:p>
        </w:tc>
      </w:tr>
    </w:tbl>
    <w:p w:rsidR="00E87EA1" w:rsidRPr="00E87EA1" w:rsidRDefault="00E87EA1" w:rsidP="00E87EA1">
      <w:pPr>
        <w:keepNext/>
        <w:keepLines/>
        <w:spacing w:line="276" w:lineRule="auto"/>
        <w:outlineLvl w:val="1"/>
        <w:rPr>
          <w:rFonts w:ascii="Calibri" w:hAnsi="Calibri" w:cs="Arial"/>
          <w:b/>
          <w:bCs/>
          <w:color w:val="000000"/>
          <w:sz w:val="22"/>
          <w:szCs w:val="22"/>
        </w:rPr>
      </w:pPr>
    </w:p>
    <w:p w:rsidR="00E87EA1" w:rsidRPr="00E87EA1" w:rsidRDefault="00E87EA1" w:rsidP="00E87EA1">
      <w:pPr>
        <w:keepNext/>
        <w:keepLines/>
        <w:spacing w:line="276" w:lineRule="auto"/>
        <w:outlineLvl w:val="1"/>
        <w:rPr>
          <w:rFonts w:ascii="Calibri" w:hAnsi="Calibri" w:cs="Arial"/>
          <w:b/>
          <w:bCs/>
          <w:color w:val="000000"/>
          <w:sz w:val="22"/>
          <w:szCs w:val="22"/>
        </w:rPr>
      </w:pPr>
    </w:p>
    <w:p w:rsidR="00A872A2" w:rsidRPr="00E87EA1" w:rsidRDefault="00A872A2" w:rsidP="00A872A2">
      <w:pPr>
        <w:rPr>
          <w:rFonts w:ascii="Calibri" w:hAnsi="Calibri"/>
          <w:sz w:val="22"/>
          <w:szCs w:val="22"/>
        </w:rPr>
      </w:pPr>
    </w:p>
    <w:sectPr w:rsidR="00A872A2" w:rsidRPr="00E87EA1" w:rsidSect="00D7377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A77796"/>
    <w:multiLevelType w:val="hybridMultilevel"/>
    <w:tmpl w:val="CD7E84A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CE2A328"/>
    <w:multiLevelType w:val="hybridMultilevel"/>
    <w:tmpl w:val="030231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FE"/>
    <w:multiLevelType w:val="singleLevel"/>
    <w:tmpl w:val="FFFFFFFF"/>
    <w:lvl w:ilvl="0">
      <w:numFmt w:val="decimal"/>
      <w:lvlText w:val="*"/>
      <w:lvlJc w:val="left"/>
    </w:lvl>
  </w:abstractNum>
  <w:abstractNum w:abstractNumId="3">
    <w:nsid w:val="03690EEB"/>
    <w:multiLevelType w:val="multilevel"/>
    <w:tmpl w:val="C898111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504"/>
        </w:tabs>
        <w:ind w:left="1080" w:hanging="57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3767E0E"/>
    <w:multiLevelType w:val="multilevel"/>
    <w:tmpl w:val="2AE4DB5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51F7DE9"/>
    <w:multiLevelType w:val="multilevel"/>
    <w:tmpl w:val="BED8FAA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C127C6"/>
    <w:multiLevelType w:val="multilevel"/>
    <w:tmpl w:val="1DBAE16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7683404"/>
    <w:multiLevelType w:val="multilevel"/>
    <w:tmpl w:val="5B9A865E"/>
    <w:lvl w:ilvl="0">
      <w:start w:val="1"/>
      <w:numFmt w:val="bullet"/>
      <w:lvlText w:val=""/>
      <w:lvlJc w:val="left"/>
      <w:pPr>
        <w:tabs>
          <w:tab w:val="num" w:pos="0"/>
        </w:tabs>
        <w:ind w:left="720" w:hanging="720"/>
      </w:pPr>
      <w:rPr>
        <w:rFonts w:ascii="Symbol" w:hAnsi="Symbol"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7955DEA"/>
    <w:multiLevelType w:val="hybridMultilevel"/>
    <w:tmpl w:val="45F416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0A2027"/>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6F25CA0"/>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92A6E51"/>
    <w:multiLevelType w:val="singleLevel"/>
    <w:tmpl w:val="67FCC32E"/>
    <w:lvl w:ilvl="0">
      <w:start w:val="1"/>
      <w:numFmt w:val="upperLetter"/>
      <w:lvlText w:val="%1."/>
      <w:legacy w:legacy="1" w:legacySpace="0" w:legacyIndent="360"/>
      <w:lvlJc w:val="left"/>
      <w:pPr>
        <w:ind w:left="360" w:hanging="360"/>
      </w:pPr>
    </w:lvl>
  </w:abstractNum>
  <w:abstractNum w:abstractNumId="12">
    <w:nsid w:val="2BDE21F4"/>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03D6161"/>
    <w:multiLevelType w:val="hybridMultilevel"/>
    <w:tmpl w:val="0228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80639B"/>
    <w:multiLevelType w:val="hybridMultilevel"/>
    <w:tmpl w:val="0854C4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61D22A3"/>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7AD2C0B"/>
    <w:multiLevelType w:val="hybridMultilevel"/>
    <w:tmpl w:val="D4D0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517F6"/>
    <w:multiLevelType w:val="hybridMultilevel"/>
    <w:tmpl w:val="D14494BA"/>
    <w:lvl w:ilvl="0" w:tplc="0B4A96D2">
      <w:start w:val="1"/>
      <w:numFmt w:val="bullet"/>
      <w:lvlText w:val="•"/>
      <w:lvlJc w:val="left"/>
      <w:pPr>
        <w:tabs>
          <w:tab w:val="num" w:pos="720"/>
        </w:tabs>
        <w:ind w:left="720" w:hanging="360"/>
      </w:pPr>
      <w:rPr>
        <w:rFonts w:ascii="Times New Roman" w:hAnsi="Times New Roman" w:hint="default"/>
      </w:rPr>
    </w:lvl>
    <w:lvl w:ilvl="1" w:tplc="8CE6F3B8" w:tentative="1">
      <w:start w:val="1"/>
      <w:numFmt w:val="bullet"/>
      <w:lvlText w:val="•"/>
      <w:lvlJc w:val="left"/>
      <w:pPr>
        <w:tabs>
          <w:tab w:val="num" w:pos="1440"/>
        </w:tabs>
        <w:ind w:left="1440" w:hanging="360"/>
      </w:pPr>
      <w:rPr>
        <w:rFonts w:ascii="Times New Roman" w:hAnsi="Times New Roman" w:hint="default"/>
      </w:rPr>
    </w:lvl>
    <w:lvl w:ilvl="2" w:tplc="A04C19D8" w:tentative="1">
      <w:start w:val="1"/>
      <w:numFmt w:val="bullet"/>
      <w:lvlText w:val="•"/>
      <w:lvlJc w:val="left"/>
      <w:pPr>
        <w:tabs>
          <w:tab w:val="num" w:pos="2160"/>
        </w:tabs>
        <w:ind w:left="2160" w:hanging="360"/>
      </w:pPr>
      <w:rPr>
        <w:rFonts w:ascii="Times New Roman" w:hAnsi="Times New Roman" w:hint="default"/>
      </w:rPr>
    </w:lvl>
    <w:lvl w:ilvl="3" w:tplc="EB92D678" w:tentative="1">
      <w:start w:val="1"/>
      <w:numFmt w:val="bullet"/>
      <w:lvlText w:val="•"/>
      <w:lvlJc w:val="left"/>
      <w:pPr>
        <w:tabs>
          <w:tab w:val="num" w:pos="2880"/>
        </w:tabs>
        <w:ind w:left="2880" w:hanging="360"/>
      </w:pPr>
      <w:rPr>
        <w:rFonts w:ascii="Times New Roman" w:hAnsi="Times New Roman" w:hint="default"/>
      </w:rPr>
    </w:lvl>
    <w:lvl w:ilvl="4" w:tplc="583691A4" w:tentative="1">
      <w:start w:val="1"/>
      <w:numFmt w:val="bullet"/>
      <w:lvlText w:val="•"/>
      <w:lvlJc w:val="left"/>
      <w:pPr>
        <w:tabs>
          <w:tab w:val="num" w:pos="3600"/>
        </w:tabs>
        <w:ind w:left="3600" w:hanging="360"/>
      </w:pPr>
      <w:rPr>
        <w:rFonts w:ascii="Times New Roman" w:hAnsi="Times New Roman" w:hint="default"/>
      </w:rPr>
    </w:lvl>
    <w:lvl w:ilvl="5" w:tplc="D9A071BC" w:tentative="1">
      <w:start w:val="1"/>
      <w:numFmt w:val="bullet"/>
      <w:lvlText w:val="•"/>
      <w:lvlJc w:val="left"/>
      <w:pPr>
        <w:tabs>
          <w:tab w:val="num" w:pos="4320"/>
        </w:tabs>
        <w:ind w:left="4320" w:hanging="360"/>
      </w:pPr>
      <w:rPr>
        <w:rFonts w:ascii="Times New Roman" w:hAnsi="Times New Roman" w:hint="default"/>
      </w:rPr>
    </w:lvl>
    <w:lvl w:ilvl="6" w:tplc="D45E9C6A" w:tentative="1">
      <w:start w:val="1"/>
      <w:numFmt w:val="bullet"/>
      <w:lvlText w:val="•"/>
      <w:lvlJc w:val="left"/>
      <w:pPr>
        <w:tabs>
          <w:tab w:val="num" w:pos="5040"/>
        </w:tabs>
        <w:ind w:left="5040" w:hanging="360"/>
      </w:pPr>
      <w:rPr>
        <w:rFonts w:ascii="Times New Roman" w:hAnsi="Times New Roman" w:hint="default"/>
      </w:rPr>
    </w:lvl>
    <w:lvl w:ilvl="7" w:tplc="F564C61C" w:tentative="1">
      <w:start w:val="1"/>
      <w:numFmt w:val="bullet"/>
      <w:lvlText w:val="•"/>
      <w:lvlJc w:val="left"/>
      <w:pPr>
        <w:tabs>
          <w:tab w:val="num" w:pos="5760"/>
        </w:tabs>
        <w:ind w:left="5760" w:hanging="360"/>
      </w:pPr>
      <w:rPr>
        <w:rFonts w:ascii="Times New Roman" w:hAnsi="Times New Roman" w:hint="default"/>
      </w:rPr>
    </w:lvl>
    <w:lvl w:ilvl="8" w:tplc="C562E41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44257F3"/>
    <w:multiLevelType w:val="multilevel"/>
    <w:tmpl w:val="922065AA"/>
    <w:lvl w:ilvl="0">
      <w:start w:val="1"/>
      <w:numFmt w:val="lowerLetter"/>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5922D7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FD72B43"/>
    <w:multiLevelType w:val="multilevel"/>
    <w:tmpl w:val="45F41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60D6919"/>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82554E1"/>
    <w:multiLevelType w:val="hybridMultilevel"/>
    <w:tmpl w:val="EE84C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F323A7B"/>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BBA043E"/>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19B29E3"/>
    <w:multiLevelType w:val="multilevel"/>
    <w:tmpl w:val="E00CB7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62655F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A2D5541"/>
    <w:multiLevelType w:val="hybridMultilevel"/>
    <w:tmpl w:val="CA781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5440B8"/>
    <w:multiLevelType w:val="hybridMultilevel"/>
    <w:tmpl w:val="207EEE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3"/>
  </w:num>
  <w:num w:numId="4">
    <w:abstractNumId w:val="17"/>
  </w:num>
  <w:num w:numId="5">
    <w:abstractNumId w:val="5"/>
  </w:num>
  <w:num w:numId="6">
    <w:abstractNumId w:val="4"/>
  </w:num>
  <w:num w:numId="7">
    <w:abstractNumId w:val="22"/>
  </w:num>
  <w:num w:numId="8">
    <w:abstractNumId w:val="13"/>
  </w:num>
  <w:num w:numId="9">
    <w:abstractNumId w:val="29"/>
  </w:num>
  <w:num w:numId="10">
    <w:abstractNumId w:val="8"/>
  </w:num>
  <w:num w:numId="11">
    <w:abstractNumId w:val="21"/>
  </w:num>
  <w:num w:numId="12">
    <w:abstractNumId w:val="28"/>
  </w:num>
  <w:num w:numId="13">
    <w:abstractNumId w:val="24"/>
  </w:num>
  <w:num w:numId="14">
    <w:abstractNumId w:val="20"/>
  </w:num>
  <w:num w:numId="15">
    <w:abstractNumId w:val="15"/>
  </w:num>
  <w:num w:numId="16">
    <w:abstractNumId w:val="27"/>
  </w:num>
  <w:num w:numId="17">
    <w:abstractNumId w:val="10"/>
  </w:num>
  <w:num w:numId="18">
    <w:abstractNumId w:val="9"/>
  </w:num>
  <w:num w:numId="19">
    <w:abstractNumId w:val="25"/>
  </w:num>
  <w:num w:numId="20">
    <w:abstractNumId w:val="11"/>
  </w:num>
  <w:num w:numId="21">
    <w:abstractNumId w:val="2"/>
    <w:lvlOverride w:ilvl="0">
      <w:lvl w:ilvl="0">
        <w:start w:val="1"/>
        <w:numFmt w:val="bullet"/>
        <w:lvlText w:val=""/>
        <w:legacy w:legacy="1" w:legacySpace="0" w:legacyIndent="360"/>
        <w:lvlJc w:val="left"/>
        <w:pPr>
          <w:ind w:left="360" w:hanging="360"/>
        </w:pPr>
        <w:rPr>
          <w:rFonts w:ascii="Wingdings" w:hAnsi="Wingdings" w:hint="default"/>
        </w:rPr>
      </w:lvl>
    </w:lvlOverride>
  </w:num>
  <w:num w:numId="22">
    <w:abstractNumId w:val="1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6"/>
  </w:num>
  <w:num w:numId="27">
    <w:abstractNumId w:val="19"/>
  </w:num>
  <w:num w:numId="28">
    <w:abstractNumId w:val="23"/>
  </w:num>
  <w:num w:numId="29">
    <w:abstractNumId w:val="7"/>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26792"/>
    <w:rsid w:val="000743CA"/>
    <w:rsid w:val="000F253A"/>
    <w:rsid w:val="00116520"/>
    <w:rsid w:val="0013063F"/>
    <w:rsid w:val="00161373"/>
    <w:rsid w:val="00193CCD"/>
    <w:rsid w:val="0019604F"/>
    <w:rsid w:val="001A4F3D"/>
    <w:rsid w:val="0025507E"/>
    <w:rsid w:val="002D647C"/>
    <w:rsid w:val="00306978"/>
    <w:rsid w:val="0034040D"/>
    <w:rsid w:val="003468C5"/>
    <w:rsid w:val="003B50D4"/>
    <w:rsid w:val="003C4BFA"/>
    <w:rsid w:val="003E5DB0"/>
    <w:rsid w:val="004E2CB8"/>
    <w:rsid w:val="004F468E"/>
    <w:rsid w:val="0057684A"/>
    <w:rsid w:val="006600E6"/>
    <w:rsid w:val="00676362"/>
    <w:rsid w:val="00754E35"/>
    <w:rsid w:val="00762D2F"/>
    <w:rsid w:val="008117D6"/>
    <w:rsid w:val="00822231"/>
    <w:rsid w:val="00826792"/>
    <w:rsid w:val="0083194B"/>
    <w:rsid w:val="008823FC"/>
    <w:rsid w:val="008B00DF"/>
    <w:rsid w:val="008C0087"/>
    <w:rsid w:val="00921E02"/>
    <w:rsid w:val="00954C97"/>
    <w:rsid w:val="00965B90"/>
    <w:rsid w:val="00A578D3"/>
    <w:rsid w:val="00A872A2"/>
    <w:rsid w:val="00AA2A49"/>
    <w:rsid w:val="00AE5A6E"/>
    <w:rsid w:val="00AF6B09"/>
    <w:rsid w:val="00B4768B"/>
    <w:rsid w:val="00C1419D"/>
    <w:rsid w:val="00C209D3"/>
    <w:rsid w:val="00C953E4"/>
    <w:rsid w:val="00D44847"/>
    <w:rsid w:val="00D7377A"/>
    <w:rsid w:val="00D77526"/>
    <w:rsid w:val="00DF2707"/>
    <w:rsid w:val="00E05570"/>
    <w:rsid w:val="00E52154"/>
    <w:rsid w:val="00E530F8"/>
    <w:rsid w:val="00E87EA1"/>
    <w:rsid w:val="00ED7822"/>
    <w:rsid w:val="00F46EE7"/>
    <w:rsid w:val="00F8290A"/>
    <w:rsid w:val="00FC0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2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22231"/>
    <w:rPr>
      <w:rFonts w:ascii="Arial" w:hAnsi="Arial"/>
      <w:sz w:val="20"/>
      <w:szCs w:val="20"/>
    </w:rPr>
  </w:style>
  <w:style w:type="character" w:styleId="Hyperlink">
    <w:name w:val="Hyperlink"/>
    <w:basedOn w:val="DefaultParagraphFont"/>
    <w:rsid w:val="00A578D3"/>
    <w:rPr>
      <w:color w:val="0000FF"/>
      <w:u w:val="single"/>
    </w:rPr>
  </w:style>
  <w:style w:type="paragraph" w:styleId="NormalWeb">
    <w:name w:val="Normal (Web)"/>
    <w:basedOn w:val="Normal"/>
    <w:uiPriority w:val="99"/>
    <w:unhideWhenUsed/>
    <w:rsid w:val="0057684A"/>
    <w:pPr>
      <w:spacing w:before="100" w:beforeAutospacing="1" w:after="100" w:afterAutospacing="1"/>
    </w:pPr>
    <w:rPr>
      <w:rFonts w:eastAsia="Calibri"/>
    </w:rPr>
  </w:style>
  <w:style w:type="paragraph" w:styleId="ListParagraph">
    <w:name w:val="List Paragraph"/>
    <w:basedOn w:val="Normal"/>
    <w:uiPriority w:val="34"/>
    <w:qFormat/>
    <w:rsid w:val="0057684A"/>
    <w:pPr>
      <w:ind w:left="720"/>
    </w:pPr>
    <w:rPr>
      <w:rFonts w:ascii="Calibri" w:eastAsia="Calibri" w:hAnsi="Calibri"/>
      <w:sz w:val="22"/>
      <w:szCs w:val="22"/>
    </w:rPr>
  </w:style>
  <w:style w:type="paragraph" w:customStyle="1" w:styleId="Default">
    <w:name w:val="Default"/>
    <w:rsid w:val="0057684A"/>
    <w:pPr>
      <w:autoSpaceDE w:val="0"/>
      <w:autoSpaceDN w:val="0"/>
      <w:adjustRightInd w:val="0"/>
    </w:pPr>
    <w:rPr>
      <w:rFonts w:ascii="Verdana" w:hAnsi="Verdana" w:cs="Verdana"/>
      <w:color w:val="000000"/>
      <w:sz w:val="24"/>
      <w:szCs w:val="24"/>
    </w:rPr>
  </w:style>
  <w:style w:type="character" w:customStyle="1" w:styleId="searchmatch6">
    <w:name w:val="searchmatch6"/>
    <w:basedOn w:val="DefaultParagraphFont"/>
    <w:rsid w:val="00F8290A"/>
    <w:rPr>
      <w:color w:val="FF0000"/>
      <w:u w:val="single"/>
    </w:rPr>
  </w:style>
</w:styles>
</file>

<file path=word/webSettings.xml><?xml version="1.0" encoding="utf-8"?>
<w:webSettings xmlns:r="http://schemas.openxmlformats.org/officeDocument/2006/relationships" xmlns:w="http://schemas.openxmlformats.org/wordprocessingml/2006/main">
  <w:divs>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3641">
      <w:bodyDiv w:val="1"/>
      <w:marLeft w:val="0"/>
      <w:marRight w:val="0"/>
      <w:marTop w:val="0"/>
      <w:marBottom w:val="0"/>
      <w:divBdr>
        <w:top w:val="none" w:sz="0" w:space="0" w:color="auto"/>
        <w:left w:val="none" w:sz="0" w:space="0" w:color="auto"/>
        <w:bottom w:val="none" w:sz="0" w:space="0" w:color="auto"/>
        <w:right w:val="none" w:sz="0" w:space="0" w:color="auto"/>
      </w:divBdr>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linicaltrials@uth.tm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ecords.uth.tmc.edu/retention_schedule.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78DB-DB06-4601-9B13-7BDA0E1C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4775</CharactersWithSpaces>
  <SharedDoc>false</SharedDoc>
  <HLinks>
    <vt:vector size="12" baseType="variant">
      <vt:variant>
        <vt:i4>2883656</vt:i4>
      </vt:variant>
      <vt:variant>
        <vt:i4>3</vt:i4>
      </vt:variant>
      <vt:variant>
        <vt:i4>0</vt:i4>
      </vt:variant>
      <vt:variant>
        <vt:i4>5</vt:i4>
      </vt:variant>
      <vt:variant>
        <vt:lpwstr>mailto:clinicaltrials@uth.tmc.edu</vt:lpwstr>
      </vt:variant>
      <vt:variant>
        <vt:lpwstr/>
      </vt:variant>
      <vt:variant>
        <vt:i4>458785</vt:i4>
      </vt:variant>
      <vt:variant>
        <vt:i4>0</vt:i4>
      </vt:variant>
      <vt:variant>
        <vt:i4>0</vt:i4>
      </vt:variant>
      <vt:variant>
        <vt:i4>5</vt:i4>
      </vt:variant>
      <vt:variant>
        <vt:lpwstr>http://records.uth.tmc.edu/retention_schedule.htm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subject/>
  <dc:creator>ssridhar2</dc:creator>
  <cp:keywords/>
  <dc:description/>
  <cp:lastModifiedBy>ssridhar2</cp:lastModifiedBy>
  <cp:revision>5</cp:revision>
  <dcterms:created xsi:type="dcterms:W3CDTF">2010-08-25T14:29:00Z</dcterms:created>
  <dcterms:modified xsi:type="dcterms:W3CDTF">2011-05-19T16:22:00Z</dcterms:modified>
</cp:coreProperties>
</file>