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92" w:rsidRPr="00FB45FB" w:rsidRDefault="00FB45FB" w:rsidP="00826792">
      <w:pPr>
        <w:rPr>
          <w:rFonts w:asciiTheme="minorHAnsi" w:hAnsiTheme="minorHAnsi"/>
          <w:b/>
          <w:sz w:val="22"/>
          <w:szCs w:val="22"/>
        </w:rPr>
      </w:pPr>
      <w:r w:rsidRPr="00FB45FB">
        <w:rPr>
          <w:rFonts w:asciiTheme="minorHAnsi" w:hAnsiTheme="minorHAnsi"/>
          <w:b/>
          <w:sz w:val="22"/>
          <w:szCs w:val="22"/>
        </w:rPr>
        <w:t xml:space="preserve">Guidance: Study </w:t>
      </w:r>
      <w:r w:rsidR="000E447B">
        <w:rPr>
          <w:rFonts w:asciiTheme="minorHAnsi" w:hAnsiTheme="minorHAnsi"/>
          <w:b/>
          <w:sz w:val="22"/>
          <w:szCs w:val="22"/>
        </w:rPr>
        <w:t>Closure</w:t>
      </w:r>
    </w:p>
    <w:p w:rsidR="00826792" w:rsidRPr="00FB45FB" w:rsidRDefault="00826792" w:rsidP="00826792">
      <w:pPr>
        <w:rPr>
          <w:rFonts w:asciiTheme="minorHAnsi" w:hAnsiTheme="minorHAnsi"/>
          <w:sz w:val="22"/>
          <w:szCs w:val="22"/>
        </w:rPr>
      </w:pPr>
    </w:p>
    <w:p w:rsidR="00A872A2" w:rsidRPr="00FB45FB" w:rsidRDefault="00FB45FB" w:rsidP="00FB45FB">
      <w:pPr>
        <w:jc w:val="both"/>
        <w:rPr>
          <w:rFonts w:asciiTheme="minorHAnsi" w:hAnsiTheme="minorHAnsi"/>
          <w:sz w:val="22"/>
          <w:szCs w:val="22"/>
        </w:rPr>
      </w:pPr>
      <w:r w:rsidRPr="00FB45FB">
        <w:rPr>
          <w:rFonts w:asciiTheme="minorHAnsi" w:hAnsiTheme="minorHAnsi"/>
          <w:b/>
          <w:sz w:val="22"/>
          <w:szCs w:val="22"/>
        </w:rPr>
        <w:t xml:space="preserve">Policy: </w:t>
      </w:r>
      <w:r w:rsidR="00141A92" w:rsidRPr="00FB45FB">
        <w:rPr>
          <w:rFonts w:asciiTheme="minorHAnsi" w:hAnsiTheme="minorHAnsi"/>
          <w:sz w:val="22"/>
          <w:szCs w:val="22"/>
        </w:rPr>
        <w:t xml:space="preserve">It is the policy of UTHSC-H that </w:t>
      </w:r>
      <w:r w:rsidR="000E447B">
        <w:rPr>
          <w:rFonts w:asciiTheme="minorHAnsi" w:hAnsiTheme="minorHAnsi"/>
          <w:sz w:val="22"/>
          <w:szCs w:val="22"/>
        </w:rPr>
        <w:t>that at the end of a clinical research study, the Principal Investigator should formally close the study site.</w:t>
      </w:r>
    </w:p>
    <w:p w:rsidR="00A872A2" w:rsidRPr="00FB45FB" w:rsidRDefault="00A872A2" w:rsidP="00A872A2">
      <w:pPr>
        <w:rPr>
          <w:rFonts w:asciiTheme="minorHAnsi" w:hAnsiTheme="minorHAnsi"/>
          <w:sz w:val="22"/>
          <w:szCs w:val="22"/>
        </w:rPr>
      </w:pPr>
    </w:p>
    <w:p w:rsidR="00E5535C" w:rsidRDefault="00E5535C" w:rsidP="00E5535C">
      <w:pPr>
        <w:autoSpaceDE w:val="0"/>
        <w:autoSpaceDN w:val="0"/>
        <w:adjustRightInd w:val="0"/>
        <w:jc w:val="both"/>
        <w:rPr>
          <w:rFonts w:ascii="Calibri" w:hAnsi="Calibri" w:cs="Verdana"/>
          <w:sz w:val="22"/>
          <w:szCs w:val="22"/>
        </w:rPr>
      </w:pPr>
    </w:p>
    <w:p w:rsidR="00E5535C" w:rsidRPr="00306978"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r w:rsidRPr="00306978">
        <w:rPr>
          <w:rFonts w:ascii="Calibri" w:hAnsi="Calibri" w:cs="Verdana"/>
          <w:b/>
          <w:sz w:val="22"/>
          <w:szCs w:val="22"/>
        </w:rPr>
        <w:t>Key Terms</w:t>
      </w:r>
    </w:p>
    <w:p w:rsidR="00E5535C"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E5535C"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306978">
        <w:rPr>
          <w:rFonts w:ascii="Calibri" w:hAnsi="Calibri" w:cs="Verdana"/>
          <w:b/>
          <w:sz w:val="22"/>
          <w:szCs w:val="22"/>
        </w:rPr>
        <w:t xml:space="preserve">Essential Documents: </w:t>
      </w:r>
      <w:r w:rsidRPr="00306978">
        <w:rPr>
          <w:rFonts w:ascii="Calibri" w:hAnsi="Calibri" w:cs="Verdana"/>
          <w:sz w:val="22"/>
          <w:szCs w:val="22"/>
        </w:rPr>
        <w:t>Essential documents are those documents which individually and collectively permit evaluation of the conduct of research and the quality of data produced.</w:t>
      </w:r>
    </w:p>
    <w:p w:rsidR="000E447B" w:rsidRDefault="000E447B"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0E447B" w:rsidRDefault="000E447B"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9A5BA6">
        <w:rPr>
          <w:rFonts w:ascii="Calibri" w:hAnsi="Calibri" w:cs="Verdana"/>
          <w:b/>
          <w:sz w:val="22"/>
          <w:szCs w:val="22"/>
        </w:rPr>
        <w:t>Last Patient Last Visit</w:t>
      </w:r>
      <w:r w:rsidR="009A5BA6">
        <w:rPr>
          <w:rFonts w:ascii="Calibri" w:hAnsi="Calibri" w:cs="Verdana"/>
          <w:b/>
          <w:sz w:val="22"/>
          <w:szCs w:val="22"/>
        </w:rPr>
        <w:t>:</w:t>
      </w:r>
      <w:r>
        <w:rPr>
          <w:rFonts w:ascii="Calibri" w:hAnsi="Calibri" w:cs="Verdana"/>
          <w:sz w:val="22"/>
          <w:szCs w:val="22"/>
        </w:rPr>
        <w:t xml:space="preserve"> The date when the last study participant </w:t>
      </w:r>
      <w:r w:rsidR="009A5BA6">
        <w:rPr>
          <w:rFonts w:ascii="Calibri" w:hAnsi="Calibri" w:cs="Verdana"/>
          <w:sz w:val="22"/>
          <w:szCs w:val="22"/>
        </w:rPr>
        <w:t xml:space="preserve">in </w:t>
      </w:r>
      <w:r>
        <w:rPr>
          <w:rFonts w:ascii="Calibri" w:hAnsi="Calibri" w:cs="Verdana"/>
          <w:sz w:val="22"/>
          <w:szCs w:val="22"/>
        </w:rPr>
        <w:t xml:space="preserve">the </w:t>
      </w:r>
      <w:r w:rsidR="009A5BA6">
        <w:rPr>
          <w:rFonts w:ascii="Calibri" w:hAnsi="Calibri" w:cs="Verdana"/>
          <w:sz w:val="22"/>
          <w:szCs w:val="22"/>
        </w:rPr>
        <w:t>research</w:t>
      </w:r>
      <w:r>
        <w:rPr>
          <w:rFonts w:ascii="Calibri" w:hAnsi="Calibri" w:cs="Verdana"/>
          <w:sz w:val="22"/>
          <w:szCs w:val="22"/>
        </w:rPr>
        <w:t xml:space="preserve"> study completes the final study visit. </w:t>
      </w:r>
    </w:p>
    <w:p w:rsidR="00E5535C" w:rsidRDefault="00E5535C" w:rsidP="00E5535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E5535C" w:rsidRPr="00E87EA1" w:rsidRDefault="00E5535C" w:rsidP="00E5535C">
      <w:pPr>
        <w:autoSpaceDE w:val="0"/>
        <w:autoSpaceDN w:val="0"/>
        <w:adjustRightInd w:val="0"/>
        <w:jc w:val="both"/>
        <w:rPr>
          <w:rFonts w:ascii="Calibri" w:hAnsi="Calibri" w:cs="Verdana"/>
          <w:sz w:val="22"/>
          <w:szCs w:val="22"/>
        </w:rPr>
      </w:pPr>
    </w:p>
    <w:p w:rsidR="003162EF" w:rsidRDefault="003162EF" w:rsidP="003162EF">
      <w:pPr>
        <w:pStyle w:val="BodyText"/>
        <w:rPr>
          <w:rFonts w:asciiTheme="minorHAnsi" w:hAnsiTheme="minorHAnsi"/>
          <w:sz w:val="22"/>
          <w:szCs w:val="22"/>
        </w:rPr>
      </w:pPr>
      <w:r>
        <w:rPr>
          <w:rFonts w:asciiTheme="minorHAnsi" w:hAnsiTheme="minorHAnsi"/>
          <w:sz w:val="22"/>
          <w:szCs w:val="22"/>
        </w:rPr>
        <w:t xml:space="preserve">When the last patient has completed the last visit and individually identifiable data will not be used any longer, the PI or delegate should formally close the study at the site. </w:t>
      </w:r>
    </w:p>
    <w:p w:rsidR="003162EF" w:rsidRDefault="003162EF" w:rsidP="004D4BA9">
      <w:pPr>
        <w:pStyle w:val="BodyText"/>
        <w:rPr>
          <w:rFonts w:asciiTheme="minorHAnsi" w:hAnsiTheme="minorHAnsi"/>
          <w:sz w:val="22"/>
          <w:szCs w:val="22"/>
        </w:rPr>
      </w:pPr>
    </w:p>
    <w:p w:rsidR="003162EF" w:rsidRPr="00FB45FB" w:rsidRDefault="003162EF" w:rsidP="003162EF">
      <w:pPr>
        <w:pStyle w:val="BodyText"/>
        <w:jc w:val="both"/>
        <w:rPr>
          <w:rFonts w:asciiTheme="minorHAnsi" w:hAnsiTheme="minorHAnsi"/>
          <w:sz w:val="22"/>
          <w:szCs w:val="22"/>
        </w:rPr>
      </w:pPr>
      <w:r w:rsidRPr="00FB45FB">
        <w:rPr>
          <w:rFonts w:asciiTheme="minorHAnsi" w:hAnsiTheme="minorHAnsi"/>
          <w:b/>
          <w:sz w:val="22"/>
          <w:szCs w:val="22"/>
        </w:rPr>
        <w:t xml:space="preserve">Site </w:t>
      </w:r>
      <w:r>
        <w:rPr>
          <w:rFonts w:asciiTheme="minorHAnsi" w:hAnsiTheme="minorHAnsi"/>
          <w:b/>
          <w:sz w:val="22"/>
          <w:szCs w:val="22"/>
        </w:rPr>
        <w:t>Closure Visit</w:t>
      </w:r>
      <w:r w:rsidRPr="00FB45FB">
        <w:rPr>
          <w:rFonts w:asciiTheme="minorHAnsi" w:hAnsiTheme="minorHAnsi"/>
          <w:sz w:val="22"/>
          <w:szCs w:val="22"/>
        </w:rPr>
        <w:t xml:space="preserve"> – </w:t>
      </w:r>
      <w:r>
        <w:rPr>
          <w:rFonts w:asciiTheme="minorHAnsi" w:hAnsiTheme="minorHAnsi"/>
          <w:sz w:val="22"/>
          <w:szCs w:val="22"/>
        </w:rPr>
        <w:t xml:space="preserve">After the last patient has completed all study activities and all outstanding data queries have been resolved, industry sponsored clinical trials schedule a formal site closure visit from the trial monitor to close the site. </w:t>
      </w:r>
    </w:p>
    <w:p w:rsidR="003162EF" w:rsidRDefault="003162EF" w:rsidP="004D4BA9">
      <w:pPr>
        <w:pStyle w:val="BodyText"/>
        <w:rPr>
          <w:rFonts w:asciiTheme="minorHAnsi" w:hAnsiTheme="minorHAnsi"/>
          <w:sz w:val="22"/>
          <w:szCs w:val="22"/>
        </w:rPr>
      </w:pPr>
    </w:p>
    <w:p w:rsidR="00D87F04" w:rsidRDefault="003162EF" w:rsidP="004D4BA9">
      <w:pPr>
        <w:pStyle w:val="BodyText"/>
        <w:rPr>
          <w:rFonts w:asciiTheme="minorHAnsi" w:hAnsiTheme="minorHAnsi"/>
          <w:sz w:val="22"/>
          <w:szCs w:val="22"/>
        </w:rPr>
      </w:pPr>
      <w:r>
        <w:rPr>
          <w:rFonts w:asciiTheme="minorHAnsi" w:hAnsiTheme="minorHAnsi"/>
          <w:sz w:val="22"/>
          <w:szCs w:val="22"/>
        </w:rPr>
        <w:t xml:space="preserve">For clinical trials with no outside monitor, the research team should ensure that the </w:t>
      </w:r>
      <w:r w:rsidR="00D87F04">
        <w:rPr>
          <w:rFonts w:asciiTheme="minorHAnsi" w:hAnsiTheme="minorHAnsi"/>
          <w:sz w:val="22"/>
          <w:szCs w:val="22"/>
        </w:rPr>
        <w:t>study is properly closed at the site. Some of the tasks that need to be completed include:</w:t>
      </w:r>
    </w:p>
    <w:p w:rsidR="00D87F04" w:rsidRDefault="00D87F04" w:rsidP="004D4BA9">
      <w:pPr>
        <w:pStyle w:val="BodyText"/>
        <w:rPr>
          <w:rFonts w:asciiTheme="minorHAnsi" w:hAnsiTheme="minorHAnsi"/>
          <w:sz w:val="22"/>
          <w:szCs w:val="22"/>
        </w:rPr>
      </w:pPr>
    </w:p>
    <w:p w:rsidR="00991077" w:rsidRDefault="00D87F04" w:rsidP="00E84523">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T</w:t>
      </w:r>
      <w:r w:rsidR="003162EF">
        <w:rPr>
          <w:rFonts w:asciiTheme="minorHAnsi" w:hAnsiTheme="minorHAnsi"/>
          <w:sz w:val="22"/>
          <w:szCs w:val="22"/>
        </w:rPr>
        <w:t xml:space="preserve">he </w:t>
      </w:r>
      <w:r w:rsidR="00991077">
        <w:rPr>
          <w:rFonts w:asciiTheme="minorHAnsi" w:hAnsiTheme="minorHAnsi"/>
          <w:sz w:val="22"/>
          <w:szCs w:val="22"/>
        </w:rPr>
        <w:t xml:space="preserve">Study </w:t>
      </w:r>
      <w:r w:rsidR="003162EF">
        <w:rPr>
          <w:rFonts w:asciiTheme="minorHAnsi" w:hAnsiTheme="minorHAnsi"/>
          <w:sz w:val="22"/>
          <w:szCs w:val="22"/>
        </w:rPr>
        <w:t>C</w:t>
      </w:r>
      <w:r w:rsidR="00991077">
        <w:rPr>
          <w:rFonts w:asciiTheme="minorHAnsi" w:hAnsiTheme="minorHAnsi"/>
          <w:sz w:val="22"/>
          <w:szCs w:val="22"/>
        </w:rPr>
        <w:t xml:space="preserve">losure </w:t>
      </w:r>
      <w:r w:rsidR="003162EF">
        <w:rPr>
          <w:rFonts w:asciiTheme="minorHAnsi" w:hAnsiTheme="minorHAnsi"/>
          <w:sz w:val="22"/>
          <w:szCs w:val="22"/>
        </w:rPr>
        <w:t xml:space="preserve">Report </w:t>
      </w:r>
      <w:r>
        <w:rPr>
          <w:rFonts w:asciiTheme="minorHAnsi" w:hAnsiTheme="minorHAnsi"/>
          <w:sz w:val="22"/>
          <w:szCs w:val="22"/>
        </w:rPr>
        <w:t xml:space="preserve">should be completed </w:t>
      </w:r>
      <w:r w:rsidR="003162EF">
        <w:rPr>
          <w:rFonts w:asciiTheme="minorHAnsi" w:hAnsiTheme="minorHAnsi"/>
          <w:sz w:val="22"/>
          <w:szCs w:val="22"/>
        </w:rPr>
        <w:t xml:space="preserve">and </w:t>
      </w:r>
      <w:r w:rsidR="00991077">
        <w:rPr>
          <w:rFonts w:asciiTheme="minorHAnsi" w:hAnsiTheme="minorHAnsi"/>
          <w:sz w:val="22"/>
          <w:szCs w:val="22"/>
        </w:rPr>
        <w:t>submitted to CPHS via iRIS.</w:t>
      </w:r>
      <w:r>
        <w:rPr>
          <w:rFonts w:asciiTheme="minorHAnsi" w:hAnsiTheme="minorHAnsi"/>
          <w:sz w:val="22"/>
          <w:szCs w:val="22"/>
        </w:rPr>
        <w:t xml:space="preserve"> If a manuscript has been accepted or published, include this with the submission.</w:t>
      </w:r>
    </w:p>
    <w:p w:rsidR="00991077" w:rsidRDefault="00991077" w:rsidP="00991077">
      <w:pPr>
        <w:pStyle w:val="BodyText"/>
        <w:ind w:left="360"/>
        <w:rPr>
          <w:rFonts w:asciiTheme="minorHAnsi" w:hAnsiTheme="minorHAnsi"/>
          <w:sz w:val="22"/>
          <w:szCs w:val="22"/>
        </w:rPr>
      </w:pPr>
    </w:p>
    <w:p w:rsidR="004D4BA9" w:rsidRPr="003162EF" w:rsidRDefault="00D87F04" w:rsidP="003162EF">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C</w:t>
      </w:r>
      <w:r w:rsidR="004D4BA9" w:rsidRPr="004D4BA9">
        <w:rPr>
          <w:rFonts w:asciiTheme="minorHAnsi" w:hAnsiTheme="minorHAnsi"/>
          <w:sz w:val="22"/>
          <w:szCs w:val="22"/>
        </w:rPr>
        <w:t xml:space="preserve">ase report forms </w:t>
      </w:r>
      <w:r w:rsidR="003162EF">
        <w:rPr>
          <w:rFonts w:asciiTheme="minorHAnsi" w:hAnsiTheme="minorHAnsi"/>
          <w:sz w:val="22"/>
          <w:szCs w:val="22"/>
        </w:rPr>
        <w:t xml:space="preserve">(or data collection forms) </w:t>
      </w:r>
      <w:r>
        <w:rPr>
          <w:rFonts w:asciiTheme="minorHAnsi" w:hAnsiTheme="minorHAnsi"/>
          <w:sz w:val="22"/>
          <w:szCs w:val="22"/>
        </w:rPr>
        <w:t xml:space="preserve">should be </w:t>
      </w:r>
      <w:r w:rsidR="004D4BA9">
        <w:rPr>
          <w:rFonts w:asciiTheme="minorHAnsi" w:hAnsiTheme="minorHAnsi"/>
          <w:sz w:val="22"/>
          <w:szCs w:val="22"/>
        </w:rPr>
        <w:t>complete</w:t>
      </w:r>
      <w:r>
        <w:rPr>
          <w:rFonts w:asciiTheme="minorHAnsi" w:hAnsiTheme="minorHAnsi"/>
          <w:sz w:val="22"/>
          <w:szCs w:val="22"/>
        </w:rPr>
        <w:t xml:space="preserve"> for all enrolled subjects</w:t>
      </w:r>
      <w:r w:rsidR="003162EF">
        <w:rPr>
          <w:rFonts w:asciiTheme="minorHAnsi" w:hAnsiTheme="minorHAnsi"/>
          <w:sz w:val="22"/>
          <w:szCs w:val="22"/>
        </w:rPr>
        <w:t xml:space="preserve">. Where applicable, </w:t>
      </w:r>
      <w:r>
        <w:rPr>
          <w:rFonts w:asciiTheme="minorHAnsi" w:hAnsiTheme="minorHAnsi"/>
          <w:sz w:val="22"/>
          <w:szCs w:val="22"/>
        </w:rPr>
        <w:t xml:space="preserve">PI or delegate should ensure that </w:t>
      </w:r>
      <w:r w:rsidR="003162EF">
        <w:rPr>
          <w:rFonts w:asciiTheme="minorHAnsi" w:hAnsiTheme="minorHAnsi"/>
          <w:sz w:val="22"/>
          <w:szCs w:val="22"/>
        </w:rPr>
        <w:t>copies of all the forms</w:t>
      </w:r>
      <w:r w:rsidR="004D4BA9">
        <w:rPr>
          <w:rFonts w:asciiTheme="minorHAnsi" w:hAnsiTheme="minorHAnsi"/>
          <w:sz w:val="22"/>
          <w:szCs w:val="22"/>
        </w:rPr>
        <w:t xml:space="preserve"> have been sent to the sponsor</w:t>
      </w:r>
      <w:r w:rsidR="003162EF">
        <w:rPr>
          <w:rFonts w:asciiTheme="minorHAnsi" w:hAnsiTheme="minorHAnsi"/>
          <w:sz w:val="22"/>
          <w:szCs w:val="22"/>
        </w:rPr>
        <w:t xml:space="preserve"> or data coordinating center. Ensure that a</w:t>
      </w:r>
      <w:r w:rsidR="004D4BA9" w:rsidRPr="004D4BA9">
        <w:rPr>
          <w:rFonts w:asciiTheme="minorHAnsi" w:hAnsiTheme="minorHAnsi"/>
          <w:sz w:val="22"/>
          <w:szCs w:val="22"/>
        </w:rPr>
        <w:t xml:space="preserve">ll </w:t>
      </w:r>
      <w:r w:rsidR="003162EF">
        <w:rPr>
          <w:rFonts w:asciiTheme="minorHAnsi" w:hAnsiTheme="minorHAnsi"/>
          <w:sz w:val="22"/>
          <w:szCs w:val="22"/>
        </w:rPr>
        <w:t xml:space="preserve">outstanding </w:t>
      </w:r>
      <w:r w:rsidR="004D4BA9" w:rsidRPr="004D4BA9">
        <w:rPr>
          <w:rFonts w:asciiTheme="minorHAnsi" w:hAnsiTheme="minorHAnsi"/>
          <w:sz w:val="22"/>
          <w:szCs w:val="22"/>
        </w:rPr>
        <w:t>data queries have been resolved</w:t>
      </w:r>
      <w:r w:rsidR="003162EF">
        <w:rPr>
          <w:rFonts w:asciiTheme="minorHAnsi" w:hAnsiTheme="minorHAnsi"/>
          <w:sz w:val="22"/>
          <w:szCs w:val="22"/>
        </w:rPr>
        <w:t xml:space="preserve">. </w:t>
      </w:r>
    </w:p>
    <w:p w:rsidR="00E84523" w:rsidRDefault="00E84523" w:rsidP="00E84523">
      <w:pPr>
        <w:pStyle w:val="BodyText"/>
        <w:tabs>
          <w:tab w:val="num" w:pos="360"/>
        </w:tabs>
        <w:ind w:left="360" w:hanging="360"/>
        <w:rPr>
          <w:rFonts w:asciiTheme="minorHAnsi" w:hAnsiTheme="minorHAnsi"/>
          <w:sz w:val="22"/>
          <w:szCs w:val="22"/>
        </w:rPr>
      </w:pPr>
    </w:p>
    <w:p w:rsidR="004D4BA9" w:rsidRDefault="00991077" w:rsidP="00E84523">
      <w:pPr>
        <w:pStyle w:val="BodyText"/>
        <w:numPr>
          <w:ilvl w:val="0"/>
          <w:numId w:val="28"/>
        </w:numPr>
        <w:tabs>
          <w:tab w:val="clear" w:pos="720"/>
          <w:tab w:val="num" w:pos="360"/>
        </w:tabs>
        <w:ind w:left="360" w:hanging="360"/>
        <w:rPr>
          <w:rFonts w:asciiTheme="minorHAnsi" w:hAnsiTheme="minorHAnsi"/>
          <w:sz w:val="22"/>
          <w:szCs w:val="22"/>
        </w:rPr>
      </w:pPr>
      <w:r w:rsidRPr="00991077">
        <w:rPr>
          <w:rFonts w:asciiTheme="minorHAnsi" w:hAnsiTheme="minorHAnsi"/>
          <w:sz w:val="22"/>
          <w:szCs w:val="22"/>
        </w:rPr>
        <w:t>If drugs are being stored at IDS</w:t>
      </w:r>
      <w:r w:rsidR="004D4BA9" w:rsidRPr="00991077">
        <w:rPr>
          <w:rFonts w:asciiTheme="minorHAnsi" w:hAnsiTheme="minorHAnsi"/>
          <w:sz w:val="22"/>
          <w:szCs w:val="22"/>
        </w:rPr>
        <w:t xml:space="preserve">, </w:t>
      </w:r>
      <w:r w:rsidRPr="00991077">
        <w:rPr>
          <w:rFonts w:asciiTheme="minorHAnsi" w:hAnsiTheme="minorHAnsi"/>
          <w:sz w:val="22"/>
          <w:szCs w:val="22"/>
        </w:rPr>
        <w:t xml:space="preserve">the </w:t>
      </w:r>
      <w:r w:rsidR="004D4BA9" w:rsidRPr="00991077">
        <w:rPr>
          <w:rFonts w:asciiTheme="minorHAnsi" w:hAnsiTheme="minorHAnsi"/>
          <w:sz w:val="22"/>
          <w:szCs w:val="22"/>
        </w:rPr>
        <w:t xml:space="preserve">study pharmacist </w:t>
      </w:r>
      <w:r w:rsidRPr="00991077">
        <w:rPr>
          <w:rFonts w:asciiTheme="minorHAnsi" w:hAnsiTheme="minorHAnsi"/>
          <w:sz w:val="22"/>
          <w:szCs w:val="22"/>
        </w:rPr>
        <w:t xml:space="preserve">should be </w:t>
      </w:r>
      <w:r w:rsidR="004D4BA9" w:rsidRPr="00991077">
        <w:rPr>
          <w:rFonts w:asciiTheme="minorHAnsi" w:hAnsiTheme="minorHAnsi"/>
          <w:sz w:val="22"/>
          <w:szCs w:val="22"/>
        </w:rPr>
        <w:t xml:space="preserve">informed of the scheduled </w:t>
      </w:r>
      <w:r w:rsidRPr="00991077">
        <w:rPr>
          <w:rFonts w:asciiTheme="minorHAnsi" w:hAnsiTheme="minorHAnsi"/>
          <w:sz w:val="22"/>
          <w:szCs w:val="22"/>
        </w:rPr>
        <w:t xml:space="preserve">site close-out </w:t>
      </w:r>
      <w:r w:rsidR="004D4BA9" w:rsidRPr="00991077">
        <w:rPr>
          <w:rFonts w:asciiTheme="minorHAnsi" w:hAnsiTheme="minorHAnsi"/>
          <w:sz w:val="22"/>
          <w:szCs w:val="22"/>
        </w:rPr>
        <w:t xml:space="preserve">visit so that study drug can be inventoried and drug accountability records can be completed.  </w:t>
      </w:r>
      <w:r>
        <w:rPr>
          <w:rFonts w:asciiTheme="minorHAnsi" w:hAnsiTheme="minorHAnsi"/>
          <w:sz w:val="22"/>
          <w:szCs w:val="22"/>
        </w:rPr>
        <w:t xml:space="preserve">Arrangement should be made for disposal of unused study drugs. </w:t>
      </w:r>
    </w:p>
    <w:p w:rsidR="00991077" w:rsidRDefault="00991077" w:rsidP="00991077">
      <w:pPr>
        <w:pStyle w:val="ListParagraph"/>
        <w:rPr>
          <w:rFonts w:asciiTheme="minorHAnsi" w:hAnsiTheme="minorHAnsi"/>
          <w:sz w:val="22"/>
          <w:szCs w:val="22"/>
        </w:rPr>
      </w:pPr>
    </w:p>
    <w:p w:rsidR="00E84523" w:rsidRDefault="00D87F04" w:rsidP="00E84523">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 xml:space="preserve">Inventory trial supplies including </w:t>
      </w:r>
      <w:r w:rsidR="00991077">
        <w:rPr>
          <w:rFonts w:asciiTheme="minorHAnsi" w:hAnsiTheme="minorHAnsi"/>
          <w:sz w:val="22"/>
          <w:szCs w:val="22"/>
        </w:rPr>
        <w:t>lab kits</w:t>
      </w:r>
      <w:r w:rsidR="003162EF">
        <w:rPr>
          <w:rFonts w:asciiTheme="minorHAnsi" w:hAnsiTheme="minorHAnsi"/>
          <w:sz w:val="22"/>
          <w:szCs w:val="22"/>
        </w:rPr>
        <w:t xml:space="preserve">, diary cards, </w:t>
      </w:r>
      <w:r>
        <w:rPr>
          <w:rFonts w:asciiTheme="minorHAnsi" w:hAnsiTheme="minorHAnsi"/>
          <w:sz w:val="22"/>
          <w:szCs w:val="22"/>
        </w:rPr>
        <w:t xml:space="preserve">unused case report </w:t>
      </w:r>
      <w:r w:rsidR="003162EF">
        <w:rPr>
          <w:rFonts w:asciiTheme="minorHAnsi" w:hAnsiTheme="minorHAnsi"/>
          <w:sz w:val="22"/>
          <w:szCs w:val="22"/>
        </w:rPr>
        <w:t>forms</w:t>
      </w:r>
      <w:r w:rsidR="00991077">
        <w:rPr>
          <w:rFonts w:asciiTheme="minorHAnsi" w:hAnsiTheme="minorHAnsi"/>
          <w:sz w:val="22"/>
          <w:szCs w:val="22"/>
        </w:rPr>
        <w:t xml:space="preserve"> etc</w:t>
      </w:r>
      <w:r>
        <w:rPr>
          <w:rFonts w:asciiTheme="minorHAnsi" w:hAnsiTheme="minorHAnsi"/>
          <w:sz w:val="22"/>
          <w:szCs w:val="22"/>
        </w:rPr>
        <w:t xml:space="preserve">. These should be returned to the sponsor, data coordinating center or properly disposed. Disposal records should be kept in the regulatory files. </w:t>
      </w:r>
    </w:p>
    <w:p w:rsidR="00E84523" w:rsidRDefault="00E84523" w:rsidP="00E84523">
      <w:pPr>
        <w:pStyle w:val="ListParagraph"/>
        <w:rPr>
          <w:rFonts w:asciiTheme="minorHAnsi" w:hAnsiTheme="minorHAnsi"/>
          <w:sz w:val="22"/>
          <w:szCs w:val="22"/>
        </w:rPr>
      </w:pPr>
    </w:p>
    <w:p w:rsidR="004D4BA9" w:rsidRPr="004D4BA9" w:rsidRDefault="003162EF" w:rsidP="00E84523">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For industry sponsored trials, t</w:t>
      </w:r>
      <w:r w:rsidR="004D4BA9" w:rsidRPr="004D4BA9">
        <w:rPr>
          <w:rFonts w:asciiTheme="minorHAnsi" w:hAnsiTheme="minorHAnsi"/>
          <w:sz w:val="22"/>
          <w:szCs w:val="22"/>
        </w:rPr>
        <w:t xml:space="preserve">he PI </w:t>
      </w:r>
      <w:r>
        <w:rPr>
          <w:rFonts w:asciiTheme="minorHAnsi" w:hAnsiTheme="minorHAnsi"/>
          <w:sz w:val="22"/>
          <w:szCs w:val="22"/>
        </w:rPr>
        <w:t xml:space="preserve">or delegate </w:t>
      </w:r>
      <w:r w:rsidR="004D4BA9" w:rsidRPr="004D4BA9">
        <w:rPr>
          <w:rFonts w:asciiTheme="minorHAnsi" w:hAnsiTheme="minorHAnsi"/>
          <w:sz w:val="22"/>
          <w:szCs w:val="22"/>
        </w:rPr>
        <w:t>should discuss with the monitor the sponsor’s requirements for patient follow-up for serious adverse events after formal termination from the study.</w:t>
      </w:r>
    </w:p>
    <w:p w:rsidR="004D4BA9" w:rsidRPr="004D4BA9" w:rsidRDefault="004D4BA9" w:rsidP="00E84523">
      <w:pPr>
        <w:pStyle w:val="BodyText"/>
        <w:tabs>
          <w:tab w:val="num" w:pos="360"/>
        </w:tabs>
        <w:ind w:left="360" w:hanging="360"/>
        <w:rPr>
          <w:rFonts w:asciiTheme="minorHAnsi" w:hAnsiTheme="minorHAnsi"/>
          <w:sz w:val="22"/>
          <w:szCs w:val="22"/>
        </w:rPr>
      </w:pPr>
    </w:p>
    <w:p w:rsidR="004D4BA9" w:rsidRDefault="003162EF" w:rsidP="00E84523">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 xml:space="preserve">The PI or delegate </w:t>
      </w:r>
      <w:r w:rsidR="004D4BA9" w:rsidRPr="004D4BA9">
        <w:rPr>
          <w:rFonts w:asciiTheme="minorHAnsi" w:hAnsiTheme="minorHAnsi"/>
          <w:sz w:val="22"/>
          <w:szCs w:val="22"/>
        </w:rPr>
        <w:t xml:space="preserve">must ensure that all payments have been made to the institution and arrange to close the research account after all transfers are made. </w:t>
      </w:r>
    </w:p>
    <w:p w:rsidR="00FF213B" w:rsidRDefault="00FF213B" w:rsidP="00FF213B">
      <w:pPr>
        <w:pStyle w:val="ListParagraph"/>
        <w:rPr>
          <w:rFonts w:asciiTheme="minorHAnsi" w:hAnsiTheme="minorHAnsi"/>
          <w:sz w:val="22"/>
          <w:szCs w:val="22"/>
        </w:rPr>
      </w:pPr>
    </w:p>
    <w:p w:rsidR="00FF213B" w:rsidRDefault="00FF213B" w:rsidP="00E84523">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lastRenderedPageBreak/>
        <w:t xml:space="preserve">If research results are going to be returned to subjects, </w:t>
      </w:r>
      <w:r w:rsidR="003162EF">
        <w:rPr>
          <w:rFonts w:asciiTheme="minorHAnsi" w:hAnsiTheme="minorHAnsi"/>
          <w:sz w:val="22"/>
          <w:szCs w:val="22"/>
        </w:rPr>
        <w:t xml:space="preserve">the PI or delegate should plan </w:t>
      </w:r>
      <w:r>
        <w:rPr>
          <w:rFonts w:asciiTheme="minorHAnsi" w:hAnsiTheme="minorHAnsi"/>
          <w:sz w:val="22"/>
          <w:szCs w:val="22"/>
        </w:rPr>
        <w:t xml:space="preserve">how this will be accomplished. </w:t>
      </w:r>
      <w:r w:rsidR="003162EF">
        <w:rPr>
          <w:rFonts w:asciiTheme="minorHAnsi" w:hAnsiTheme="minorHAnsi"/>
          <w:sz w:val="22"/>
          <w:szCs w:val="22"/>
        </w:rPr>
        <w:t xml:space="preserve">CPHS should be informed of this plan. </w:t>
      </w:r>
    </w:p>
    <w:p w:rsidR="00FF213B" w:rsidRDefault="00FF213B" w:rsidP="00FF213B">
      <w:pPr>
        <w:pStyle w:val="ListParagraph"/>
        <w:rPr>
          <w:rFonts w:asciiTheme="minorHAnsi" w:hAnsiTheme="minorHAnsi"/>
          <w:sz w:val="22"/>
          <w:szCs w:val="22"/>
        </w:rPr>
      </w:pPr>
    </w:p>
    <w:p w:rsidR="00FF213B" w:rsidRDefault="00D87F04" w:rsidP="00E84523">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C</w:t>
      </w:r>
      <w:r w:rsidR="00FF213B">
        <w:rPr>
          <w:rFonts w:asciiTheme="minorHAnsi" w:hAnsiTheme="minorHAnsi"/>
          <w:sz w:val="22"/>
          <w:szCs w:val="22"/>
        </w:rPr>
        <w:t xml:space="preserve">opies of source documents </w:t>
      </w:r>
      <w:r>
        <w:rPr>
          <w:rFonts w:asciiTheme="minorHAnsi" w:hAnsiTheme="minorHAnsi"/>
          <w:sz w:val="22"/>
          <w:szCs w:val="22"/>
        </w:rPr>
        <w:t xml:space="preserve">should be obtained </w:t>
      </w:r>
      <w:r w:rsidR="00FF213B">
        <w:rPr>
          <w:rFonts w:asciiTheme="minorHAnsi" w:hAnsiTheme="minorHAnsi"/>
          <w:sz w:val="22"/>
          <w:szCs w:val="22"/>
        </w:rPr>
        <w:t xml:space="preserve">for archival or </w:t>
      </w:r>
      <w:r>
        <w:rPr>
          <w:rFonts w:asciiTheme="minorHAnsi" w:hAnsiTheme="minorHAnsi"/>
          <w:sz w:val="22"/>
          <w:szCs w:val="22"/>
        </w:rPr>
        <w:t xml:space="preserve">plans should be made to ensure that </w:t>
      </w:r>
      <w:r w:rsidR="00FF213B">
        <w:rPr>
          <w:rFonts w:asciiTheme="minorHAnsi" w:hAnsiTheme="minorHAnsi"/>
          <w:sz w:val="22"/>
          <w:szCs w:val="22"/>
        </w:rPr>
        <w:t xml:space="preserve">medical records are not destroyed until the end of the retention period. </w:t>
      </w:r>
    </w:p>
    <w:p w:rsidR="003162EF" w:rsidRDefault="003162EF" w:rsidP="003162EF">
      <w:pPr>
        <w:pStyle w:val="ListParagraph"/>
        <w:rPr>
          <w:rFonts w:asciiTheme="minorHAnsi" w:hAnsiTheme="minorHAnsi"/>
          <w:sz w:val="22"/>
          <w:szCs w:val="22"/>
        </w:rPr>
      </w:pPr>
    </w:p>
    <w:p w:rsidR="00D87F04" w:rsidRDefault="00D87F04" w:rsidP="003162EF">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R</w:t>
      </w:r>
      <w:r w:rsidR="003162EF">
        <w:rPr>
          <w:rFonts w:asciiTheme="minorHAnsi" w:hAnsiTheme="minorHAnsi"/>
          <w:sz w:val="22"/>
          <w:szCs w:val="22"/>
        </w:rPr>
        <w:t xml:space="preserve">egulatory files </w:t>
      </w:r>
      <w:r>
        <w:rPr>
          <w:rFonts w:asciiTheme="minorHAnsi" w:hAnsiTheme="minorHAnsi"/>
          <w:sz w:val="22"/>
          <w:szCs w:val="22"/>
        </w:rPr>
        <w:t xml:space="preserve">should be carefully reviewed </w:t>
      </w:r>
      <w:r w:rsidR="003162EF">
        <w:rPr>
          <w:rFonts w:asciiTheme="minorHAnsi" w:hAnsiTheme="minorHAnsi"/>
          <w:sz w:val="22"/>
          <w:szCs w:val="22"/>
        </w:rPr>
        <w:t>to ensure they are complete</w:t>
      </w:r>
      <w:r>
        <w:rPr>
          <w:rFonts w:asciiTheme="minorHAnsi" w:hAnsiTheme="minorHAnsi"/>
          <w:sz w:val="22"/>
          <w:szCs w:val="22"/>
        </w:rPr>
        <w:t xml:space="preserve">. This could be achieved by checking off the list under the essential documents in the ICH GCP Guidelines. The PI or delegate should ensure that all the signed consent forms and HIPAA forms are present. </w:t>
      </w:r>
    </w:p>
    <w:p w:rsidR="00D87F04" w:rsidRDefault="00D87F04" w:rsidP="00D87F04">
      <w:pPr>
        <w:pStyle w:val="ListParagraph"/>
        <w:rPr>
          <w:rFonts w:asciiTheme="minorHAnsi" w:hAnsiTheme="minorHAnsi"/>
          <w:sz w:val="22"/>
          <w:szCs w:val="22"/>
        </w:rPr>
      </w:pPr>
    </w:p>
    <w:p w:rsidR="003162EF" w:rsidRDefault="00D87F04" w:rsidP="003162EF">
      <w:pPr>
        <w:pStyle w:val="BodyText"/>
        <w:numPr>
          <w:ilvl w:val="0"/>
          <w:numId w:val="28"/>
        </w:numPr>
        <w:tabs>
          <w:tab w:val="clear" w:pos="720"/>
          <w:tab w:val="num" w:pos="360"/>
        </w:tabs>
        <w:ind w:left="360" w:hanging="360"/>
        <w:rPr>
          <w:rFonts w:asciiTheme="minorHAnsi" w:hAnsiTheme="minorHAnsi"/>
          <w:sz w:val="22"/>
          <w:szCs w:val="22"/>
        </w:rPr>
      </w:pPr>
      <w:r>
        <w:rPr>
          <w:rFonts w:asciiTheme="minorHAnsi" w:hAnsiTheme="minorHAnsi"/>
          <w:sz w:val="22"/>
          <w:szCs w:val="22"/>
        </w:rPr>
        <w:t>For industry sponsored studies, refer to the contract or talk to the monitor to ensure that documents are stored for the required period of time. For other studies follow the UT Houston guidance for records retention. A</w:t>
      </w:r>
      <w:r w:rsidR="003162EF" w:rsidRPr="003162EF">
        <w:rPr>
          <w:rFonts w:asciiTheme="minorHAnsi" w:hAnsiTheme="minorHAnsi"/>
          <w:sz w:val="22"/>
          <w:szCs w:val="22"/>
        </w:rPr>
        <w:t>rrange for transfer of study documents to secure storage.</w:t>
      </w:r>
      <w:r>
        <w:rPr>
          <w:rFonts w:asciiTheme="minorHAnsi" w:hAnsiTheme="minorHAnsi"/>
          <w:sz w:val="22"/>
          <w:szCs w:val="22"/>
        </w:rPr>
        <w:t xml:space="preserve"> Maintain details of documents stored in a log so that individual files can be quickly retrieved in the event of an audit or inspection. </w:t>
      </w:r>
    </w:p>
    <w:p w:rsidR="003162EF" w:rsidRPr="004D4BA9" w:rsidRDefault="003162EF" w:rsidP="003162EF">
      <w:pPr>
        <w:pStyle w:val="BodyText"/>
        <w:rPr>
          <w:rFonts w:asciiTheme="minorHAnsi" w:hAnsiTheme="minorHAnsi"/>
          <w:sz w:val="22"/>
          <w:szCs w:val="22"/>
        </w:rPr>
      </w:pPr>
    </w:p>
    <w:p w:rsidR="00062961" w:rsidRPr="00FB45FB" w:rsidRDefault="00062961" w:rsidP="00062961">
      <w:pPr>
        <w:pStyle w:val="ListParagraph"/>
        <w:rPr>
          <w:rFonts w:asciiTheme="minorHAnsi" w:hAnsiTheme="minorHAnsi"/>
          <w:sz w:val="22"/>
          <w:szCs w:val="22"/>
        </w:rPr>
      </w:pPr>
    </w:p>
    <w:p w:rsidR="00A872A2" w:rsidRPr="00FB45FB" w:rsidRDefault="00FB45FB" w:rsidP="00A872A2">
      <w:pPr>
        <w:rPr>
          <w:rFonts w:asciiTheme="minorHAnsi" w:hAnsiTheme="minorHAnsi"/>
          <w:b/>
          <w:sz w:val="22"/>
          <w:szCs w:val="22"/>
        </w:rPr>
      </w:pPr>
      <w:r w:rsidRPr="00FB45FB">
        <w:rPr>
          <w:rFonts w:asciiTheme="minorHAnsi" w:hAnsiTheme="minorHAnsi"/>
          <w:b/>
          <w:sz w:val="22"/>
          <w:szCs w:val="22"/>
        </w:rPr>
        <w:t>Applicable Regulations and Guidelines</w:t>
      </w:r>
    </w:p>
    <w:p w:rsidR="003B50D4" w:rsidRPr="00FB45FB" w:rsidRDefault="0000193C" w:rsidP="00FB45FB">
      <w:pPr>
        <w:numPr>
          <w:ilvl w:val="0"/>
          <w:numId w:val="23"/>
        </w:numPr>
        <w:ind w:left="360" w:hanging="360"/>
        <w:rPr>
          <w:rFonts w:asciiTheme="minorHAnsi" w:hAnsiTheme="minorHAnsi"/>
          <w:sz w:val="22"/>
          <w:szCs w:val="22"/>
        </w:rPr>
      </w:pPr>
      <w:r w:rsidRPr="00FB45FB">
        <w:rPr>
          <w:rFonts w:asciiTheme="minorHAnsi" w:hAnsiTheme="minorHAnsi"/>
          <w:sz w:val="22"/>
          <w:szCs w:val="22"/>
        </w:rPr>
        <w:t xml:space="preserve">ICH Good Clinical Practice: </w:t>
      </w:r>
      <w:r w:rsidR="003B50D4" w:rsidRPr="00FB45FB">
        <w:rPr>
          <w:rFonts w:asciiTheme="minorHAnsi" w:hAnsiTheme="minorHAnsi"/>
          <w:sz w:val="22"/>
          <w:szCs w:val="22"/>
        </w:rPr>
        <w:t xml:space="preserve">Consolidated Guideline </w:t>
      </w:r>
    </w:p>
    <w:p w:rsidR="00A872A2" w:rsidRPr="00FB45FB" w:rsidRDefault="00A872A2" w:rsidP="00A872A2">
      <w:pPr>
        <w:rPr>
          <w:rFonts w:asciiTheme="minorHAnsi" w:hAnsiTheme="minorHAnsi"/>
          <w:sz w:val="22"/>
          <w:szCs w:val="22"/>
        </w:rPr>
      </w:pPr>
    </w:p>
    <w:p w:rsidR="00FB45FB" w:rsidRPr="00FB45FB" w:rsidRDefault="00FB45FB" w:rsidP="00FB45FB">
      <w:pPr>
        <w:rPr>
          <w:rFonts w:asciiTheme="minorHAnsi" w:hAnsiTheme="minorHAnsi"/>
          <w:b/>
          <w:sz w:val="22"/>
          <w:szCs w:val="22"/>
        </w:rPr>
      </w:pPr>
      <w:r w:rsidRPr="00FB45FB">
        <w:rPr>
          <w:rFonts w:asciiTheme="minorHAnsi" w:hAnsiTheme="minorHAnsi"/>
          <w:b/>
          <w:sz w:val="22"/>
          <w:szCs w:val="22"/>
        </w:rPr>
        <w:t>Applicable Institutional Policies and Procedures</w:t>
      </w:r>
    </w:p>
    <w:p w:rsidR="00FB45FB" w:rsidRPr="00FB45FB" w:rsidRDefault="00FB45FB" w:rsidP="00FB45FB">
      <w:pPr>
        <w:numPr>
          <w:ilvl w:val="0"/>
          <w:numId w:val="23"/>
        </w:numPr>
        <w:ind w:left="360" w:hanging="360"/>
        <w:rPr>
          <w:rFonts w:asciiTheme="minorHAnsi" w:hAnsiTheme="minorHAnsi"/>
          <w:sz w:val="22"/>
          <w:szCs w:val="22"/>
        </w:rPr>
      </w:pPr>
      <w:r w:rsidRPr="00FB45FB">
        <w:rPr>
          <w:rFonts w:asciiTheme="minorHAnsi" w:hAnsiTheme="minorHAnsi"/>
          <w:sz w:val="22"/>
          <w:szCs w:val="22"/>
        </w:rPr>
        <w:t>None</w:t>
      </w:r>
    </w:p>
    <w:p w:rsidR="00FB45FB" w:rsidRPr="00FB45FB" w:rsidRDefault="00FB45FB" w:rsidP="00A872A2">
      <w:pPr>
        <w:rPr>
          <w:rFonts w:asciiTheme="minorHAnsi" w:hAnsiTheme="minorHAnsi"/>
          <w:sz w:val="22"/>
          <w:szCs w:val="22"/>
        </w:rPr>
      </w:pPr>
    </w:p>
    <w:p w:rsidR="00FB45FB" w:rsidRPr="00FB45FB" w:rsidRDefault="00FB45FB" w:rsidP="00FB45FB">
      <w:pPr>
        <w:rPr>
          <w:rFonts w:asciiTheme="minorHAnsi" w:hAnsiTheme="minorHAnsi"/>
          <w:b/>
          <w:sz w:val="22"/>
          <w:szCs w:val="22"/>
        </w:rPr>
      </w:pPr>
      <w:r w:rsidRPr="00FB45FB">
        <w:rPr>
          <w:rFonts w:asciiTheme="minorHAnsi" w:hAnsiTheme="minorHAnsi"/>
          <w:b/>
          <w:sz w:val="22"/>
          <w:szCs w:val="22"/>
        </w:rPr>
        <w:t>Attachments</w:t>
      </w:r>
    </w:p>
    <w:p w:rsidR="00A872A2" w:rsidRPr="00FB45FB" w:rsidRDefault="00CA6F33" w:rsidP="00FB45FB">
      <w:pPr>
        <w:pStyle w:val="ListParagraph"/>
        <w:numPr>
          <w:ilvl w:val="0"/>
          <w:numId w:val="24"/>
        </w:numPr>
        <w:ind w:left="360" w:hanging="360"/>
        <w:rPr>
          <w:rFonts w:asciiTheme="minorHAnsi" w:hAnsiTheme="minorHAnsi"/>
          <w:sz w:val="22"/>
          <w:szCs w:val="22"/>
        </w:rPr>
      </w:pPr>
      <w:r w:rsidRPr="00FB45FB">
        <w:rPr>
          <w:rFonts w:asciiTheme="minorHAnsi" w:hAnsiTheme="minorHAnsi"/>
          <w:sz w:val="22"/>
          <w:szCs w:val="22"/>
        </w:rPr>
        <w:t>Regulatory Binder</w:t>
      </w:r>
      <w:r w:rsidR="00676362" w:rsidRPr="00FB45FB">
        <w:rPr>
          <w:rFonts w:asciiTheme="minorHAnsi" w:hAnsiTheme="minorHAnsi"/>
          <w:sz w:val="22"/>
          <w:szCs w:val="22"/>
        </w:rPr>
        <w:t xml:space="preserve"> </w:t>
      </w:r>
      <w:r w:rsidR="00271793" w:rsidRPr="00FB45FB">
        <w:rPr>
          <w:rFonts w:asciiTheme="minorHAnsi" w:hAnsiTheme="minorHAnsi"/>
          <w:sz w:val="22"/>
          <w:szCs w:val="22"/>
        </w:rPr>
        <w:t>Contents Template</w:t>
      </w:r>
    </w:p>
    <w:p w:rsidR="00A872A2" w:rsidRPr="00FB45FB" w:rsidRDefault="00A872A2" w:rsidP="00A872A2">
      <w:pPr>
        <w:rPr>
          <w:rFonts w:asciiTheme="minorHAnsi" w:hAnsiTheme="minorHAnsi"/>
          <w:sz w:val="22"/>
          <w:szCs w:val="22"/>
        </w:rPr>
      </w:pPr>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p w:rsidR="00FB45FB" w:rsidRPr="00FB45FB" w:rsidRDefault="00FB45FB" w:rsidP="00FB45FB">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 xml:space="preserve">If you find errors in this document, contact </w:t>
      </w:r>
      <w:hyperlink r:id="rId6" w:history="1">
        <w:r w:rsidRPr="00FB45FB">
          <w:rPr>
            <w:rStyle w:val="Hyperlink"/>
            <w:rFonts w:asciiTheme="minorHAnsi" w:hAnsiTheme="minorHAnsi" w:cs="Arial"/>
            <w:b/>
            <w:bCs/>
            <w:color w:val="000000" w:themeColor="text1"/>
            <w:sz w:val="22"/>
            <w:szCs w:val="22"/>
          </w:rPr>
          <w:t>clinicaltrials@uth.tmc.edu</w:t>
        </w:r>
      </w:hyperlink>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tbl>
      <w:tblPr>
        <w:tblStyle w:val="TableGrid"/>
        <w:tblW w:w="0" w:type="auto"/>
        <w:tblLook w:val="04A0"/>
      </w:tblPr>
      <w:tblGrid>
        <w:gridCol w:w="2175"/>
        <w:gridCol w:w="6681"/>
      </w:tblGrid>
      <w:tr w:rsidR="00FB45FB" w:rsidRPr="00FB45FB" w:rsidTr="003F7B4B">
        <w:tc>
          <w:tcPr>
            <w:tcW w:w="2268"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Document Number:</w:t>
            </w:r>
          </w:p>
        </w:tc>
        <w:tc>
          <w:tcPr>
            <w:tcW w:w="7200" w:type="dxa"/>
            <w:vAlign w:val="center"/>
          </w:tcPr>
          <w:p w:rsidR="00FB45FB" w:rsidRPr="00FB45FB" w:rsidRDefault="00153CDA" w:rsidP="003F7B4B">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402-024</w:t>
            </w:r>
          </w:p>
        </w:tc>
      </w:tr>
      <w:tr w:rsidR="00FB45FB" w:rsidRPr="00FB45FB" w:rsidTr="003F7B4B">
        <w:tc>
          <w:tcPr>
            <w:tcW w:w="2268"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Author:</w:t>
            </w:r>
          </w:p>
        </w:tc>
        <w:tc>
          <w:tcPr>
            <w:tcW w:w="7200" w:type="dxa"/>
            <w:vAlign w:val="center"/>
          </w:tcPr>
          <w:p w:rsidR="00FB45FB" w:rsidRPr="00FB45FB" w:rsidRDefault="00FB45FB" w:rsidP="003F7B4B">
            <w:pPr>
              <w:keepNext/>
              <w:keepLines/>
              <w:spacing w:line="276" w:lineRule="auto"/>
              <w:outlineLvl w:val="1"/>
              <w:rPr>
                <w:rFonts w:asciiTheme="minorHAnsi" w:hAnsiTheme="minorHAnsi" w:cs="Arial"/>
                <w:bCs/>
                <w:color w:val="000000" w:themeColor="text1"/>
                <w:sz w:val="22"/>
                <w:szCs w:val="22"/>
              </w:rPr>
            </w:pPr>
            <w:r w:rsidRPr="00FB45FB">
              <w:rPr>
                <w:rFonts w:asciiTheme="minorHAnsi" w:hAnsiTheme="minorHAnsi" w:cs="Arial"/>
                <w:bCs/>
                <w:color w:val="000000" w:themeColor="text1"/>
                <w:sz w:val="22"/>
                <w:szCs w:val="22"/>
              </w:rPr>
              <w:t>Clinical Trials Resource Center</w:t>
            </w:r>
          </w:p>
        </w:tc>
      </w:tr>
      <w:tr w:rsidR="00FB45FB" w:rsidRPr="00FB45FB" w:rsidTr="003F7B4B">
        <w:tc>
          <w:tcPr>
            <w:tcW w:w="2268"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Effective:</w:t>
            </w:r>
          </w:p>
        </w:tc>
        <w:tc>
          <w:tcPr>
            <w:tcW w:w="7200" w:type="dxa"/>
            <w:vAlign w:val="center"/>
          </w:tcPr>
          <w:p w:rsidR="00FB45FB" w:rsidRPr="00FB45FB" w:rsidRDefault="00153CDA" w:rsidP="003F7B4B">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FB45FB" w:rsidRPr="00FB45FB" w:rsidTr="003F7B4B">
        <w:tc>
          <w:tcPr>
            <w:tcW w:w="2268"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r w:rsidRPr="00FB45FB">
              <w:rPr>
                <w:rFonts w:asciiTheme="minorHAnsi" w:hAnsiTheme="minorHAnsi" w:cs="Arial"/>
                <w:b/>
                <w:bCs/>
                <w:color w:val="000000" w:themeColor="text1"/>
                <w:sz w:val="22"/>
                <w:szCs w:val="22"/>
              </w:rPr>
              <w:t>Revision History:</w:t>
            </w:r>
          </w:p>
        </w:tc>
        <w:tc>
          <w:tcPr>
            <w:tcW w:w="7200" w:type="dxa"/>
            <w:vAlign w:val="center"/>
          </w:tcPr>
          <w:p w:rsidR="00FB45FB" w:rsidRPr="00FB45FB" w:rsidRDefault="00FB45FB" w:rsidP="003F7B4B">
            <w:pPr>
              <w:keepNext/>
              <w:keepLines/>
              <w:spacing w:line="276" w:lineRule="auto"/>
              <w:outlineLvl w:val="1"/>
              <w:rPr>
                <w:rFonts w:asciiTheme="minorHAnsi" w:hAnsiTheme="minorHAnsi" w:cs="Arial"/>
                <w:bCs/>
                <w:color w:val="000000" w:themeColor="text1"/>
                <w:sz w:val="22"/>
                <w:szCs w:val="22"/>
              </w:rPr>
            </w:pPr>
            <w:r w:rsidRPr="00FB45FB">
              <w:rPr>
                <w:rFonts w:asciiTheme="minorHAnsi" w:hAnsiTheme="minorHAnsi" w:cs="Arial"/>
                <w:bCs/>
                <w:color w:val="000000" w:themeColor="text1"/>
                <w:sz w:val="22"/>
                <w:szCs w:val="22"/>
              </w:rPr>
              <w:t>None</w:t>
            </w:r>
          </w:p>
        </w:tc>
      </w:tr>
      <w:tr w:rsidR="00FB45FB" w:rsidRPr="00FB45FB" w:rsidTr="003F7B4B">
        <w:tc>
          <w:tcPr>
            <w:tcW w:w="2268"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p>
        </w:tc>
      </w:tr>
      <w:tr w:rsidR="00FB45FB" w:rsidRPr="00FB45FB" w:rsidTr="003F7B4B">
        <w:tc>
          <w:tcPr>
            <w:tcW w:w="2268"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FB45FB" w:rsidRPr="00FB45FB" w:rsidRDefault="00FB45FB" w:rsidP="003F7B4B">
            <w:pPr>
              <w:keepNext/>
              <w:keepLines/>
              <w:spacing w:line="276" w:lineRule="auto"/>
              <w:outlineLvl w:val="1"/>
              <w:rPr>
                <w:rFonts w:asciiTheme="minorHAnsi" w:hAnsiTheme="minorHAnsi" w:cs="Arial"/>
                <w:b/>
                <w:bCs/>
                <w:color w:val="000000" w:themeColor="text1"/>
                <w:sz w:val="22"/>
                <w:szCs w:val="22"/>
              </w:rPr>
            </w:pPr>
          </w:p>
        </w:tc>
      </w:tr>
    </w:tbl>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p w:rsidR="00FB45FB" w:rsidRPr="00FB45FB" w:rsidRDefault="00FB45FB" w:rsidP="00FB45FB">
      <w:pPr>
        <w:keepNext/>
        <w:keepLines/>
        <w:spacing w:line="276" w:lineRule="auto"/>
        <w:outlineLvl w:val="1"/>
        <w:rPr>
          <w:rFonts w:asciiTheme="minorHAnsi" w:hAnsiTheme="minorHAnsi" w:cs="Arial"/>
          <w:b/>
          <w:bCs/>
          <w:color w:val="000000" w:themeColor="text1"/>
          <w:sz w:val="22"/>
          <w:szCs w:val="22"/>
        </w:rPr>
      </w:pPr>
    </w:p>
    <w:p w:rsidR="00FB45FB" w:rsidRPr="00FB45FB" w:rsidRDefault="00FB45FB" w:rsidP="00A872A2">
      <w:pPr>
        <w:rPr>
          <w:rFonts w:asciiTheme="minorHAnsi" w:hAnsiTheme="minorHAnsi"/>
          <w:sz w:val="22"/>
          <w:szCs w:val="22"/>
        </w:rPr>
      </w:pPr>
    </w:p>
    <w:sectPr w:rsidR="00FB45FB" w:rsidRPr="00FB45FB" w:rsidSect="00A1644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D53F71"/>
    <w:multiLevelType w:val="multilevel"/>
    <w:tmpl w:val="7A0E09DA"/>
    <w:lvl w:ilvl="0">
      <w:start w:val="1"/>
      <w:numFmt w:val="low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8B735A5"/>
    <w:multiLevelType w:val="multilevel"/>
    <w:tmpl w:val="89782E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10">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6C6DFC"/>
    <w:multiLevelType w:val="multilevel"/>
    <w:tmpl w:val="777E8C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7EF402C"/>
    <w:multiLevelType w:val="multilevel"/>
    <w:tmpl w:val="2856D3FA"/>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3335684"/>
    <w:multiLevelType w:val="multilevel"/>
    <w:tmpl w:val="7A0E09DA"/>
    <w:lvl w:ilvl="0">
      <w:start w:val="1"/>
      <w:numFmt w:val="low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9B052F"/>
    <w:multiLevelType w:val="multilevel"/>
    <w:tmpl w:val="2856D3FA"/>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3"/>
  </w:num>
  <w:num w:numId="3">
    <w:abstractNumId w:val="1"/>
  </w:num>
  <w:num w:numId="4">
    <w:abstractNumId w:val="13"/>
  </w:num>
  <w:num w:numId="5">
    <w:abstractNumId w:val="3"/>
  </w:num>
  <w:num w:numId="6">
    <w:abstractNumId w:val="2"/>
  </w:num>
  <w:num w:numId="7">
    <w:abstractNumId w:val="18"/>
  </w:num>
  <w:num w:numId="8">
    <w:abstractNumId w:val="11"/>
  </w:num>
  <w:num w:numId="9">
    <w:abstractNumId w:val="26"/>
  </w:num>
  <w:num w:numId="10">
    <w:abstractNumId w:val="4"/>
  </w:num>
  <w:num w:numId="11">
    <w:abstractNumId w:val="16"/>
  </w:num>
  <w:num w:numId="12">
    <w:abstractNumId w:val="25"/>
  </w:num>
  <w:num w:numId="13">
    <w:abstractNumId w:val="20"/>
  </w:num>
  <w:num w:numId="14">
    <w:abstractNumId w:val="15"/>
  </w:num>
  <w:num w:numId="15">
    <w:abstractNumId w:val="12"/>
  </w:num>
  <w:num w:numId="16">
    <w:abstractNumId w:val="24"/>
  </w:num>
  <w:num w:numId="17">
    <w:abstractNumId w:val="7"/>
  </w:num>
  <w:num w:numId="18">
    <w:abstractNumId w:val="6"/>
  </w:num>
  <w:num w:numId="19">
    <w:abstractNumId w:val="22"/>
  </w:num>
  <w:num w:numId="20">
    <w:abstractNumId w:val="9"/>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0"/>
  </w:num>
  <w:num w:numId="23">
    <w:abstractNumId w:val="27"/>
  </w:num>
  <w:num w:numId="24">
    <w:abstractNumId w:val="19"/>
  </w:num>
  <w:num w:numId="25">
    <w:abstractNumId w:val="8"/>
  </w:num>
  <w:num w:numId="26">
    <w:abstractNumId w:val="21"/>
  </w:num>
  <w:num w:numId="27">
    <w:abstractNumId w:val="5"/>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26792"/>
    <w:rsid w:val="0000193C"/>
    <w:rsid w:val="00002907"/>
    <w:rsid w:val="00062961"/>
    <w:rsid w:val="000E447B"/>
    <w:rsid w:val="000F253A"/>
    <w:rsid w:val="00141A92"/>
    <w:rsid w:val="00153CDA"/>
    <w:rsid w:val="0019604F"/>
    <w:rsid w:val="001A4F3D"/>
    <w:rsid w:val="0025507E"/>
    <w:rsid w:val="00271793"/>
    <w:rsid w:val="002D647C"/>
    <w:rsid w:val="003162EF"/>
    <w:rsid w:val="00326802"/>
    <w:rsid w:val="003B50D4"/>
    <w:rsid w:val="003C4BFA"/>
    <w:rsid w:val="003F7B4B"/>
    <w:rsid w:val="004D4BA9"/>
    <w:rsid w:val="004F468E"/>
    <w:rsid w:val="0052736D"/>
    <w:rsid w:val="00600060"/>
    <w:rsid w:val="0060774D"/>
    <w:rsid w:val="00676362"/>
    <w:rsid w:val="006E01EF"/>
    <w:rsid w:val="00754E35"/>
    <w:rsid w:val="00762D2F"/>
    <w:rsid w:val="00822231"/>
    <w:rsid w:val="00826792"/>
    <w:rsid w:val="0083194B"/>
    <w:rsid w:val="008611A9"/>
    <w:rsid w:val="008C0087"/>
    <w:rsid w:val="00954C97"/>
    <w:rsid w:val="00991077"/>
    <w:rsid w:val="009A5BA6"/>
    <w:rsid w:val="00A1644D"/>
    <w:rsid w:val="00A578D3"/>
    <w:rsid w:val="00A872A2"/>
    <w:rsid w:val="00AE5A6E"/>
    <w:rsid w:val="00AF6B09"/>
    <w:rsid w:val="00C0587F"/>
    <w:rsid w:val="00C1419D"/>
    <w:rsid w:val="00C209D3"/>
    <w:rsid w:val="00C6522E"/>
    <w:rsid w:val="00C953E4"/>
    <w:rsid w:val="00CA6F33"/>
    <w:rsid w:val="00D44847"/>
    <w:rsid w:val="00D77526"/>
    <w:rsid w:val="00D87F04"/>
    <w:rsid w:val="00DF2707"/>
    <w:rsid w:val="00DF40E7"/>
    <w:rsid w:val="00E5535C"/>
    <w:rsid w:val="00E84523"/>
    <w:rsid w:val="00F46EE7"/>
    <w:rsid w:val="00FB45FB"/>
    <w:rsid w:val="00FF2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ListParagraph">
    <w:name w:val="List Paragraph"/>
    <w:basedOn w:val="Normal"/>
    <w:uiPriority w:val="34"/>
    <w:qFormat/>
    <w:rsid w:val="00326802"/>
    <w:pPr>
      <w:ind w:left="720"/>
    </w:pPr>
  </w:style>
</w:styles>
</file>

<file path=word/webSettings.xml><?xml version="1.0" encoding="utf-8"?>
<w:webSettings xmlns:r="http://schemas.openxmlformats.org/officeDocument/2006/relationships" xmlns:w="http://schemas.openxmlformats.org/wordprocessingml/2006/main">
  <w:divs>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inicaltrials@uth.tm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F48E-3FD4-4852-8C38-C78EF09D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611</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9</cp:revision>
  <dcterms:created xsi:type="dcterms:W3CDTF">2010-08-25T14:16:00Z</dcterms:created>
  <dcterms:modified xsi:type="dcterms:W3CDTF">2011-05-19T15:54:00Z</dcterms:modified>
</cp:coreProperties>
</file>