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450" w:rsidRPr="00070450" w:rsidRDefault="008C0030" w:rsidP="00070450">
      <w:pPr>
        <w:spacing w:after="240" w:line="330" w:lineRule="atLeast"/>
        <w:outlineLvl w:val="4"/>
        <w:rPr>
          <w:rFonts w:ascii="&amp;quot" w:eastAsia="Times New Roman" w:hAnsi="&amp;quot" w:cs="Times New Roman"/>
          <w:b/>
          <w:bCs/>
          <w:color w:val="111111"/>
          <w:sz w:val="30"/>
          <w:szCs w:val="30"/>
        </w:rPr>
      </w:pPr>
      <w:r>
        <w:rPr>
          <w:rFonts w:ascii="&amp;quot" w:eastAsia="Times New Roman" w:hAnsi="&amp;quot" w:cs="Times New Roman"/>
          <w:b/>
          <w:bCs/>
          <w:color w:val="111111"/>
          <w:sz w:val="30"/>
          <w:szCs w:val="30"/>
        </w:rPr>
        <w:t>Helpful tips</w:t>
      </w:r>
      <w:r w:rsidR="00070450" w:rsidRPr="00070450">
        <w:rPr>
          <w:rFonts w:ascii="&amp;quot" w:eastAsia="Times New Roman" w:hAnsi="&amp;quot" w:cs="Times New Roman"/>
          <w:b/>
          <w:bCs/>
          <w:color w:val="111111"/>
          <w:sz w:val="30"/>
          <w:szCs w:val="30"/>
        </w:rPr>
        <w:t xml:space="preserve"> for Completing DEA Form 225</w:t>
      </w:r>
    </w:p>
    <w:p w:rsidR="00070450" w:rsidRPr="00070450" w:rsidRDefault="00070450" w:rsidP="00070450">
      <w:pPr>
        <w:numPr>
          <w:ilvl w:val="0"/>
          <w:numId w:val="1"/>
        </w:numPr>
        <w:spacing w:after="75" w:line="320" w:lineRule="atLeast"/>
        <w:ind w:left="0"/>
        <w:rPr>
          <w:rFonts w:ascii="&amp;quot" w:eastAsia="Times New Roman" w:hAnsi="&amp;quot" w:cs="Times New Roman"/>
          <w:color w:val="333333"/>
          <w:sz w:val="24"/>
          <w:szCs w:val="24"/>
        </w:rPr>
      </w:pPr>
      <w:r w:rsidRPr="00070450">
        <w:rPr>
          <w:rFonts w:ascii="&amp;quot" w:eastAsia="Times New Roman" w:hAnsi="&amp;quot" w:cs="Times New Roman"/>
          <w:color w:val="333333"/>
          <w:sz w:val="24"/>
          <w:szCs w:val="24"/>
        </w:rPr>
        <w:t>In order to be exempt from payment of the application fee, Section 6: Exemption from Application Fee, must be filled out on the online form or the paper form.  The Registration Unit in Washington, DC will confirm exempt status after submission.  Be sure to include accurate contact information in case the Registration Unit has furth</w:t>
      </w:r>
      <w:bookmarkStart w:id="0" w:name="_GoBack"/>
      <w:bookmarkEnd w:id="0"/>
      <w:r w:rsidRPr="00070450">
        <w:rPr>
          <w:rFonts w:ascii="&amp;quot" w:eastAsia="Times New Roman" w:hAnsi="&amp;quot" w:cs="Times New Roman"/>
          <w:color w:val="333333"/>
          <w:sz w:val="24"/>
          <w:szCs w:val="24"/>
        </w:rPr>
        <w:t>er questions concerning exempt status.</w:t>
      </w:r>
    </w:p>
    <w:p w:rsidR="00070450" w:rsidRPr="00070450" w:rsidRDefault="00070450" w:rsidP="00070450">
      <w:pPr>
        <w:numPr>
          <w:ilvl w:val="0"/>
          <w:numId w:val="2"/>
        </w:numPr>
        <w:spacing w:after="75" w:line="320" w:lineRule="atLeast"/>
        <w:ind w:left="0"/>
        <w:rPr>
          <w:rFonts w:ascii="&amp;quot" w:eastAsia="Times New Roman" w:hAnsi="&amp;quot" w:cs="Times New Roman"/>
          <w:color w:val="333333"/>
          <w:sz w:val="24"/>
          <w:szCs w:val="24"/>
        </w:rPr>
      </w:pPr>
      <w:r w:rsidRPr="00070450">
        <w:rPr>
          <w:rFonts w:ascii="&amp;quot" w:eastAsia="Times New Roman" w:hAnsi="&amp;quot" w:cs="Times New Roman"/>
          <w:color w:val="333333"/>
          <w:sz w:val="24"/>
          <w:szCs w:val="24"/>
        </w:rPr>
        <w:t>In Section 1, the “Point of Contact” should be the person to whom questions regarding the application should be directed.</w:t>
      </w:r>
    </w:p>
    <w:p w:rsidR="00070450" w:rsidRPr="00070450" w:rsidRDefault="00070450" w:rsidP="00070450">
      <w:pPr>
        <w:numPr>
          <w:ilvl w:val="0"/>
          <w:numId w:val="3"/>
        </w:numPr>
        <w:spacing w:after="75" w:line="320" w:lineRule="atLeast"/>
        <w:ind w:left="0"/>
        <w:rPr>
          <w:rFonts w:ascii="&amp;quot" w:eastAsia="Times New Roman" w:hAnsi="&amp;quot" w:cs="Times New Roman"/>
          <w:color w:val="333333"/>
          <w:sz w:val="24"/>
          <w:szCs w:val="24"/>
        </w:rPr>
      </w:pPr>
      <w:r w:rsidRPr="00070450">
        <w:rPr>
          <w:rFonts w:ascii="&amp;quot" w:eastAsia="Times New Roman" w:hAnsi="&amp;quot" w:cs="Times New Roman"/>
          <w:color w:val="333333"/>
          <w:sz w:val="24"/>
          <w:szCs w:val="24"/>
        </w:rPr>
        <w:t>Texas no longer issues state licenses for controlled substances.  Enter all zeros for state license number on forms.  Renewal forms will prepopulate the form with the previous state license number.  Simply replace with all zeros.  This is for researchers only.</w:t>
      </w:r>
    </w:p>
    <w:p w:rsidR="00070450" w:rsidRPr="00070450" w:rsidRDefault="00070450" w:rsidP="00070450">
      <w:pPr>
        <w:numPr>
          <w:ilvl w:val="0"/>
          <w:numId w:val="4"/>
        </w:numPr>
        <w:spacing w:after="75" w:line="320" w:lineRule="atLeast"/>
        <w:ind w:left="0"/>
        <w:rPr>
          <w:rFonts w:ascii="&amp;quot" w:eastAsia="Times New Roman" w:hAnsi="&amp;quot" w:cs="Times New Roman"/>
          <w:color w:val="333333"/>
          <w:sz w:val="24"/>
          <w:szCs w:val="24"/>
        </w:rPr>
      </w:pPr>
      <w:r w:rsidRPr="00070450">
        <w:rPr>
          <w:rFonts w:ascii="&amp;quot" w:eastAsia="Times New Roman" w:hAnsi="&amp;quot" w:cs="Times New Roman"/>
          <w:color w:val="333333"/>
          <w:sz w:val="24"/>
          <w:szCs w:val="24"/>
        </w:rPr>
        <w:t>Questions for DEA application should be directed to the Houston office: 800.743.0595 or 713.693.3660.</w:t>
      </w:r>
    </w:p>
    <w:p w:rsidR="00070450" w:rsidRPr="00070450" w:rsidRDefault="00070450" w:rsidP="00070450">
      <w:pPr>
        <w:numPr>
          <w:ilvl w:val="0"/>
          <w:numId w:val="5"/>
        </w:numPr>
        <w:spacing w:after="75" w:line="320" w:lineRule="atLeast"/>
        <w:ind w:left="0"/>
        <w:rPr>
          <w:rFonts w:ascii="&amp;quot" w:eastAsia="Times New Roman" w:hAnsi="&amp;quot" w:cs="Times New Roman"/>
          <w:color w:val="333333"/>
          <w:sz w:val="24"/>
          <w:szCs w:val="24"/>
        </w:rPr>
      </w:pPr>
      <w:r w:rsidRPr="00070450">
        <w:rPr>
          <w:rFonts w:ascii="&amp;quot" w:eastAsia="Times New Roman" w:hAnsi="&amp;quot" w:cs="Times New Roman"/>
          <w:color w:val="333333"/>
          <w:sz w:val="24"/>
          <w:szCs w:val="24"/>
        </w:rPr>
        <w:t>The DEA Investigator processing your application may request additional information after receiving your application.</w:t>
      </w:r>
    </w:p>
    <w:p w:rsidR="00070450" w:rsidRPr="00070450" w:rsidRDefault="00070450" w:rsidP="00070450">
      <w:pPr>
        <w:numPr>
          <w:ilvl w:val="0"/>
          <w:numId w:val="6"/>
        </w:numPr>
        <w:spacing w:after="75" w:line="320" w:lineRule="atLeast"/>
        <w:ind w:left="0"/>
        <w:rPr>
          <w:rFonts w:ascii="&amp;quot" w:eastAsia="Times New Roman" w:hAnsi="&amp;quot" w:cs="Times New Roman"/>
          <w:color w:val="333333"/>
          <w:sz w:val="24"/>
          <w:szCs w:val="24"/>
        </w:rPr>
      </w:pPr>
      <w:r w:rsidRPr="00070450">
        <w:rPr>
          <w:rFonts w:ascii="&amp;quot" w:eastAsia="Times New Roman" w:hAnsi="&amp;quot" w:cs="Times New Roman"/>
          <w:color w:val="333333"/>
          <w:sz w:val="24"/>
          <w:szCs w:val="24"/>
        </w:rPr>
        <w:t>Registrations must be renewed every three years.</w:t>
      </w:r>
    </w:p>
    <w:p w:rsidR="00070450" w:rsidRPr="00070450" w:rsidRDefault="00070450" w:rsidP="00070450">
      <w:pPr>
        <w:numPr>
          <w:ilvl w:val="0"/>
          <w:numId w:val="7"/>
        </w:numPr>
        <w:spacing w:after="75" w:line="320" w:lineRule="atLeast"/>
        <w:ind w:left="0"/>
        <w:rPr>
          <w:rFonts w:ascii="&amp;quot" w:eastAsia="Times New Roman" w:hAnsi="&amp;quot" w:cs="Times New Roman"/>
          <w:color w:val="333333"/>
          <w:sz w:val="24"/>
          <w:szCs w:val="24"/>
        </w:rPr>
      </w:pPr>
      <w:r w:rsidRPr="00070450">
        <w:rPr>
          <w:rFonts w:ascii="&amp;quot" w:eastAsia="Times New Roman" w:hAnsi="&amp;quot" w:cs="Times New Roman"/>
          <w:color w:val="333333"/>
          <w:sz w:val="24"/>
          <w:szCs w:val="24"/>
        </w:rPr>
        <w:t>Beginning January 1, 2017, the DEA will send an electronic reminder that renewal is due. The notice will go to the email address associated with the DEA registration. Renewal notices will no longer be sent by paper mail.</w:t>
      </w:r>
    </w:p>
    <w:p w:rsidR="00070450" w:rsidRPr="00070450" w:rsidRDefault="00070450" w:rsidP="00070450">
      <w:pPr>
        <w:numPr>
          <w:ilvl w:val="0"/>
          <w:numId w:val="8"/>
        </w:numPr>
        <w:spacing w:after="75" w:line="320" w:lineRule="atLeast"/>
        <w:ind w:left="0"/>
        <w:rPr>
          <w:rFonts w:ascii="&amp;quot" w:eastAsia="Times New Roman" w:hAnsi="&amp;quot" w:cs="Times New Roman"/>
          <w:color w:val="333333"/>
          <w:sz w:val="24"/>
          <w:szCs w:val="24"/>
        </w:rPr>
      </w:pPr>
      <w:r w:rsidRPr="00070450">
        <w:rPr>
          <w:rFonts w:ascii="&amp;quot" w:eastAsia="Times New Roman" w:hAnsi="&amp;quot" w:cs="Times New Roman"/>
          <w:color w:val="333333"/>
          <w:sz w:val="24"/>
          <w:szCs w:val="24"/>
        </w:rPr>
        <w:t>If a renewal application is submitted in a timely manner prior to expiration, the registrant may continue operations, authorized by the registration, beyond the expiration date until final action is taken on the application.</w:t>
      </w:r>
    </w:p>
    <w:p w:rsidR="00070450" w:rsidRPr="00070450" w:rsidRDefault="00070450" w:rsidP="00070450">
      <w:pPr>
        <w:numPr>
          <w:ilvl w:val="0"/>
          <w:numId w:val="9"/>
        </w:numPr>
        <w:spacing w:after="75" w:line="320" w:lineRule="atLeast"/>
        <w:ind w:left="0"/>
        <w:rPr>
          <w:rFonts w:ascii="&amp;quot" w:eastAsia="Times New Roman" w:hAnsi="&amp;quot" w:cs="Times New Roman"/>
          <w:color w:val="333333"/>
          <w:sz w:val="24"/>
          <w:szCs w:val="24"/>
        </w:rPr>
      </w:pPr>
      <w:r w:rsidRPr="00070450">
        <w:rPr>
          <w:rFonts w:ascii="&amp;quot" w:eastAsia="Times New Roman" w:hAnsi="&amp;quot" w:cs="Times New Roman"/>
          <w:color w:val="333333"/>
          <w:sz w:val="24"/>
          <w:szCs w:val="24"/>
        </w:rPr>
        <w:t>DEA allows the reinstatement of an expired registration for one calendar month after the expiration date. If the registration is not renewed within that calendar month, an application for a new DEA registration will be required.</w:t>
      </w:r>
    </w:p>
    <w:p w:rsidR="00070450" w:rsidRPr="00070450" w:rsidRDefault="00070450" w:rsidP="00070450">
      <w:pPr>
        <w:numPr>
          <w:ilvl w:val="0"/>
          <w:numId w:val="10"/>
        </w:numPr>
        <w:spacing w:after="75" w:line="320" w:lineRule="atLeast"/>
        <w:ind w:left="0"/>
        <w:rPr>
          <w:rFonts w:ascii="&amp;quot" w:eastAsia="Times New Roman" w:hAnsi="&amp;quot" w:cs="Times New Roman"/>
          <w:color w:val="333333"/>
          <w:sz w:val="24"/>
          <w:szCs w:val="24"/>
        </w:rPr>
      </w:pPr>
      <w:r w:rsidRPr="00070450">
        <w:rPr>
          <w:rFonts w:ascii="&amp;quot" w:eastAsia="Times New Roman" w:hAnsi="&amp;quot" w:cs="Times New Roman"/>
          <w:color w:val="333333"/>
          <w:sz w:val="24"/>
          <w:szCs w:val="24"/>
        </w:rPr>
        <w:t>Regardless of whether a registration is reinstated within the calendar month after expiration, federal law prohibits the handling of controlled substances or List 1 chemicals for any period of time under an expired registration.</w:t>
      </w:r>
    </w:p>
    <w:p w:rsidR="001C19BD" w:rsidRDefault="001C19BD"/>
    <w:sectPr w:rsidR="001C1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0A18"/>
    <w:multiLevelType w:val="multilevel"/>
    <w:tmpl w:val="DB60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B0ED4"/>
    <w:multiLevelType w:val="multilevel"/>
    <w:tmpl w:val="13BC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84FB6"/>
    <w:multiLevelType w:val="multilevel"/>
    <w:tmpl w:val="8064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0335A"/>
    <w:multiLevelType w:val="multilevel"/>
    <w:tmpl w:val="900A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219BC"/>
    <w:multiLevelType w:val="multilevel"/>
    <w:tmpl w:val="D62A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63094"/>
    <w:multiLevelType w:val="multilevel"/>
    <w:tmpl w:val="CB16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4707FB"/>
    <w:multiLevelType w:val="multilevel"/>
    <w:tmpl w:val="A310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9B7ADF"/>
    <w:multiLevelType w:val="multilevel"/>
    <w:tmpl w:val="299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A87499"/>
    <w:multiLevelType w:val="multilevel"/>
    <w:tmpl w:val="B446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626475"/>
    <w:multiLevelType w:val="multilevel"/>
    <w:tmpl w:val="6FB0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2"/>
  </w:num>
  <w:num w:numId="5">
    <w:abstractNumId w:val="0"/>
  </w:num>
  <w:num w:numId="6">
    <w:abstractNumId w:val="1"/>
  </w:num>
  <w:num w:numId="7">
    <w:abstractNumId w:val="4"/>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50"/>
    <w:rsid w:val="00070450"/>
    <w:rsid w:val="001C19BD"/>
    <w:rsid w:val="008C0030"/>
    <w:rsid w:val="00A2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9A56"/>
  <w15:chartTrackingRefBased/>
  <w15:docId w15:val="{F2FEA841-608B-4F0C-A916-D3EF0C78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Matthew H</dc:creator>
  <cp:keywords/>
  <dc:description/>
  <cp:lastModifiedBy>Bryan, William W</cp:lastModifiedBy>
  <cp:revision>2</cp:revision>
  <dcterms:created xsi:type="dcterms:W3CDTF">2018-06-26T15:28:00Z</dcterms:created>
  <dcterms:modified xsi:type="dcterms:W3CDTF">2019-07-03T15:06:00Z</dcterms:modified>
</cp:coreProperties>
</file>